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90" w:rsidRPr="00204A90" w:rsidRDefault="00390241" w:rsidP="008365C1">
      <w:pPr>
        <w:shd w:val="clear" w:color="auto" w:fill="FFFFFF" w:themeFill="background1"/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643DB0D4" wp14:editId="2DB5A017">
            <wp:simplePos x="0" y="0"/>
            <wp:positionH relativeFrom="column">
              <wp:posOffset>62230</wp:posOffset>
            </wp:positionH>
            <wp:positionV relativeFrom="paragraph">
              <wp:posOffset>35560</wp:posOffset>
            </wp:positionV>
            <wp:extent cx="5762625" cy="967740"/>
            <wp:effectExtent l="0" t="0" r="0" b="0"/>
            <wp:wrapSquare wrapText="bothSides"/>
            <wp:docPr id="5" name="Картина 5" descr="C:\Users\Direktor\Desktop\dg 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dg 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65C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                             </w:t>
      </w:r>
      <w:r w:rsidR="004C4162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65C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                              </w:t>
      </w:r>
    </w:p>
    <w:p w:rsidR="00390241" w:rsidRDefault="00390241" w:rsidP="0039024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390241" w:rsidRDefault="0039024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390241" w:rsidRDefault="0039024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365C1" w:rsidRPr="00390241" w:rsidRDefault="0039024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ОДОБРЯВАМ:</w:t>
      </w:r>
    </w:p>
    <w:p w:rsidR="00390241" w:rsidRPr="00390241" w:rsidRDefault="0039024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НАТАЛИЯ ДАНОВСКА</w:t>
      </w:r>
    </w:p>
    <w:p w:rsidR="00390241" w:rsidRPr="00390241" w:rsidRDefault="0039024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ПРЕДСЕДАТЕЛ</w:t>
      </w:r>
      <w:r w:rsidR="00355ECE">
        <w:rPr>
          <w:rFonts w:eastAsia="Times New Roman" w:cs="Times New Roman"/>
          <w:b/>
          <w:bCs/>
          <w:sz w:val="24"/>
          <w:szCs w:val="20"/>
        </w:rPr>
        <w:t xml:space="preserve"> </w:t>
      </w:r>
      <w:r w:rsidR="00355ECE">
        <w:rPr>
          <w:rFonts w:eastAsia="Times New Roman" w:cs="Times New Roman"/>
          <w:b/>
          <w:bCs/>
          <w:sz w:val="24"/>
          <w:szCs w:val="20"/>
          <w:lang w:val="en-US"/>
        </w:rPr>
        <w:t>/</w:t>
      </w:r>
      <w:r w:rsidR="00355ECE">
        <w:rPr>
          <w:rFonts w:eastAsia="Times New Roman" w:cs="Times New Roman"/>
          <w:b/>
          <w:bCs/>
          <w:sz w:val="24"/>
          <w:szCs w:val="20"/>
        </w:rPr>
        <w:t>п/</w:t>
      </w:r>
    </w:p>
    <w:p w:rsidR="00390241" w:rsidRPr="00355ECE" w:rsidRDefault="0039024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НА ОБЩЕСТВЕНИЯ СЪВЕТ</w:t>
      </w:r>
      <w:r w:rsidR="00355ECE">
        <w:rPr>
          <w:rFonts w:eastAsia="Times New Roman" w:cs="Times New Roman"/>
          <w:b/>
          <w:bCs/>
          <w:sz w:val="24"/>
          <w:szCs w:val="20"/>
          <w:lang w:val="en-US"/>
        </w:rPr>
        <w:t xml:space="preserve"> </w:t>
      </w:r>
      <w:bookmarkStart w:id="0" w:name="_GoBack"/>
      <w:bookmarkEnd w:id="0"/>
    </w:p>
    <w:p w:rsidR="004C4162" w:rsidRDefault="004C4162" w:rsidP="00390241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C4162" w:rsidRPr="00390241" w:rsidRDefault="004C4162" w:rsidP="00CB0979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</w:p>
    <w:p w:rsidR="00204A90" w:rsidRPr="00390241" w:rsidRDefault="00204A90" w:rsidP="004C4162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 xml:space="preserve">УТВЪРЖДАВАМ: </w:t>
      </w:r>
    </w:p>
    <w:p w:rsidR="00204A90" w:rsidRPr="00390241" w:rsidRDefault="004C4162" w:rsidP="007547C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ИВА АНГЕЛОВА</w:t>
      </w:r>
    </w:p>
    <w:p w:rsidR="004A491B" w:rsidRPr="00390241" w:rsidRDefault="004A491B" w:rsidP="007547C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ДИРЕКТОР</w:t>
      </w:r>
      <w:r w:rsidR="00355ECE">
        <w:rPr>
          <w:rFonts w:eastAsia="Times New Roman" w:cs="Times New Roman"/>
          <w:b/>
          <w:bCs/>
          <w:sz w:val="24"/>
          <w:szCs w:val="20"/>
        </w:rPr>
        <w:t xml:space="preserve"> </w:t>
      </w:r>
      <w:r w:rsidR="00355ECE">
        <w:rPr>
          <w:rFonts w:eastAsia="Times New Roman" w:cs="Times New Roman"/>
          <w:b/>
          <w:bCs/>
          <w:sz w:val="24"/>
          <w:szCs w:val="20"/>
          <w:lang w:val="en-US"/>
        </w:rPr>
        <w:t>/</w:t>
      </w:r>
      <w:r w:rsidR="00355ECE">
        <w:rPr>
          <w:rFonts w:eastAsia="Times New Roman" w:cs="Times New Roman"/>
          <w:b/>
          <w:bCs/>
          <w:sz w:val="24"/>
          <w:szCs w:val="20"/>
        </w:rPr>
        <w:t>п/</w:t>
      </w:r>
    </w:p>
    <w:p w:rsidR="00204A90" w:rsidRPr="00390241" w:rsidRDefault="008365C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val="en-US" w:eastAsia="bg-BG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Заповед </w:t>
      </w:r>
      <w:r w:rsidR="00517E77">
        <w:rPr>
          <w:rFonts w:eastAsia="Times New Roman" w:cs="Times New Roman"/>
          <w:bCs/>
          <w:color w:val="000000" w:themeColor="text1"/>
          <w:sz w:val="24"/>
          <w:szCs w:val="20"/>
        </w:rPr>
        <w:t>№ 217 / 08.09.2017</w:t>
      </w:r>
      <w:r w:rsidRPr="00390241">
        <w:rPr>
          <w:rFonts w:eastAsia="Times New Roman" w:cs="Times New Roman"/>
          <w:bCs/>
          <w:color w:val="000000" w:themeColor="text1"/>
          <w:sz w:val="24"/>
          <w:szCs w:val="20"/>
        </w:rPr>
        <w:t xml:space="preserve"> </w:t>
      </w:r>
      <w:r w:rsidR="00204A90" w:rsidRPr="00390241">
        <w:rPr>
          <w:rFonts w:eastAsia="Times New Roman" w:cs="Times New Roman"/>
          <w:bCs/>
          <w:color w:val="000000" w:themeColor="text1"/>
          <w:sz w:val="24"/>
          <w:szCs w:val="20"/>
        </w:rPr>
        <w:t>г.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CB0979" w:rsidRPr="00390241" w:rsidRDefault="00CB0979" w:rsidP="00CB0979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eastAsia="bg-BG"/>
        </w:rPr>
      </w:pPr>
    </w:p>
    <w:p w:rsidR="008365C1" w:rsidRPr="00390241" w:rsidRDefault="008365C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eastAsia="bg-BG"/>
        </w:rPr>
      </w:pPr>
      <w:r w:rsidRPr="00390241">
        <w:rPr>
          <w:rFonts w:eastAsia="Times New Roman" w:cs="Times New Roman"/>
          <w:bCs/>
          <w:noProof/>
          <w:sz w:val="24"/>
          <w:szCs w:val="24"/>
          <w:lang w:eastAsia="bg-BG"/>
        </w:rPr>
        <w:drawing>
          <wp:inline distT="0" distB="0" distL="0" distR="0" wp14:anchorId="535BC0A8" wp14:editId="01FACB5F">
            <wp:extent cx="6534150" cy="51625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139" cy="51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7C1" w:rsidRPr="00390241" w:rsidRDefault="007547C1" w:rsidP="008365C1">
      <w:pPr>
        <w:autoSpaceDE w:val="0"/>
        <w:autoSpaceDN w:val="0"/>
        <w:adjustRightInd w:val="0"/>
        <w:spacing w:after="0" w:line="300" w:lineRule="exact"/>
        <w:rPr>
          <w:rFonts w:eastAsia="Times New Roman" w:cs="Times New Roman"/>
          <w:bCs/>
          <w:sz w:val="24"/>
          <w:szCs w:val="24"/>
          <w:lang w:eastAsia="bg-BG"/>
        </w:rPr>
      </w:pPr>
    </w:p>
    <w:p w:rsidR="007547C1" w:rsidRPr="00390241" w:rsidRDefault="007547C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eastAsia="bg-BG"/>
        </w:rPr>
      </w:pPr>
    </w:p>
    <w:p w:rsidR="007547C1" w:rsidRPr="00390241" w:rsidRDefault="007547C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eastAsia="bg-BG"/>
        </w:rPr>
      </w:pPr>
    </w:p>
    <w:p w:rsidR="00204A90" w:rsidRPr="00390241" w:rsidRDefault="008365C1" w:rsidP="008365C1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  <w:lang w:eastAsia="bg-BG"/>
        </w:rPr>
      </w:pPr>
      <w:r w:rsidRPr="00390241">
        <w:rPr>
          <w:rFonts w:eastAsia="Times New Roman" w:cs="Times New Roman"/>
          <w:bCs/>
          <w:noProof/>
          <w:sz w:val="24"/>
          <w:szCs w:val="24"/>
          <w:lang w:eastAsia="bg-BG"/>
        </w:rPr>
        <w:drawing>
          <wp:inline distT="0" distB="0" distL="0" distR="0" wp14:anchorId="0D58A2ED" wp14:editId="1C6F2669">
            <wp:extent cx="5133975" cy="2695575"/>
            <wp:effectExtent l="0" t="0" r="0" b="0"/>
            <wp:docPr id="3" name="Картина 3" descr="C:\Users\Direktor\Desktop\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1-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1" w:rsidRPr="00390241" w:rsidRDefault="007547C1" w:rsidP="007547C1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eastAsia="Arial Unicode MS" w:cs="Times New Roman"/>
          <w:b/>
          <w:bCs/>
          <w:i/>
          <w:caps/>
          <w:sz w:val="36"/>
          <w:szCs w:val="36"/>
          <w:lang w:eastAsia="bg-BG"/>
        </w:rPr>
      </w:pPr>
      <w:r w:rsidRPr="00390241">
        <w:rPr>
          <w:rFonts w:eastAsia="Arial Unicode MS" w:cs="Times New Roman"/>
          <w:b/>
          <w:bCs/>
          <w:i/>
          <w:caps/>
          <w:sz w:val="36"/>
          <w:szCs w:val="36"/>
          <w:lang w:eastAsia="bg-BG"/>
        </w:rPr>
        <w:t>СТРАТЕГИЯ ЗА РАЗВИТИЕ</w:t>
      </w:r>
    </w:p>
    <w:p w:rsidR="007547C1" w:rsidRPr="00390241" w:rsidRDefault="007547C1" w:rsidP="007547C1">
      <w:pPr>
        <w:autoSpaceDE w:val="0"/>
        <w:autoSpaceDN w:val="0"/>
        <w:adjustRightInd w:val="0"/>
        <w:spacing w:after="0" w:line="300" w:lineRule="exact"/>
        <w:ind w:firstLine="397"/>
        <w:rPr>
          <w:rFonts w:eastAsia="Arial Unicode MS" w:cs="Times New Roman"/>
          <w:b/>
          <w:bCs/>
          <w:caps/>
          <w:sz w:val="36"/>
          <w:szCs w:val="36"/>
          <w:lang w:eastAsia="bg-BG"/>
        </w:rPr>
      </w:pPr>
    </w:p>
    <w:p w:rsidR="007547C1" w:rsidRPr="00390241" w:rsidRDefault="007547C1" w:rsidP="007547C1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eastAsia="Arial Unicode MS" w:cs="Times New Roman"/>
          <w:b/>
          <w:bCs/>
          <w:i/>
          <w:caps/>
          <w:sz w:val="36"/>
          <w:szCs w:val="36"/>
          <w:lang w:eastAsia="bg-BG"/>
        </w:rPr>
      </w:pPr>
      <w:r w:rsidRPr="00390241">
        <w:rPr>
          <w:rFonts w:eastAsia="Arial Unicode MS" w:cs="Times New Roman"/>
          <w:b/>
          <w:bCs/>
          <w:i/>
          <w:caps/>
          <w:sz w:val="36"/>
          <w:szCs w:val="36"/>
          <w:lang w:eastAsia="bg-BG"/>
        </w:rPr>
        <w:t>ДГ „ДЕТСКА ПЛАНЕТА“</w:t>
      </w:r>
    </w:p>
    <w:p w:rsidR="007547C1" w:rsidRPr="00390241" w:rsidRDefault="007547C1" w:rsidP="007547C1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eastAsia="Arial Unicode MS" w:cs="Times New Roman"/>
          <w:b/>
          <w:bCs/>
          <w:i/>
          <w:caps/>
          <w:sz w:val="36"/>
          <w:szCs w:val="36"/>
          <w:lang w:eastAsia="bg-BG"/>
        </w:rPr>
      </w:pPr>
    </w:p>
    <w:p w:rsidR="007547C1" w:rsidRPr="00390241" w:rsidRDefault="00390241" w:rsidP="007547C1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>
        <w:rPr>
          <w:rFonts w:eastAsia="Times New Roman" w:cs="Times New Roman"/>
          <w:b/>
          <w:bCs/>
          <w:i/>
          <w:sz w:val="36"/>
          <w:szCs w:val="36"/>
        </w:rPr>
        <w:t>ЗА ПЕРИОДА 201</w:t>
      </w:r>
      <w:r>
        <w:rPr>
          <w:rFonts w:eastAsia="Times New Roman" w:cs="Times New Roman"/>
          <w:b/>
          <w:bCs/>
          <w:i/>
          <w:sz w:val="36"/>
          <w:szCs w:val="36"/>
          <w:lang w:val="en-US"/>
        </w:rPr>
        <w:t>7</w:t>
      </w:r>
      <w:r>
        <w:rPr>
          <w:rFonts w:eastAsia="Times New Roman" w:cs="Times New Roman"/>
          <w:b/>
          <w:bCs/>
          <w:i/>
          <w:sz w:val="36"/>
          <w:szCs w:val="36"/>
        </w:rPr>
        <w:t xml:space="preserve"> – 202</w:t>
      </w:r>
      <w:r>
        <w:rPr>
          <w:rFonts w:eastAsia="Times New Roman" w:cs="Times New Roman"/>
          <w:b/>
          <w:bCs/>
          <w:i/>
          <w:sz w:val="36"/>
          <w:szCs w:val="36"/>
          <w:lang w:val="en-US"/>
        </w:rPr>
        <w:t>1</w:t>
      </w:r>
      <w:r w:rsidR="007547C1" w:rsidRPr="00390241">
        <w:rPr>
          <w:rFonts w:eastAsia="Times New Roman" w:cs="Times New Roman"/>
          <w:b/>
          <w:bCs/>
          <w:i/>
          <w:sz w:val="36"/>
          <w:szCs w:val="36"/>
        </w:rPr>
        <w:t xml:space="preserve"> Г.</w:t>
      </w:r>
    </w:p>
    <w:p w:rsidR="007547C1" w:rsidRPr="00390241" w:rsidRDefault="007547C1" w:rsidP="00204A90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eastAsia="Arial Unicode MS" w:cs="Times New Roman"/>
          <w:b/>
          <w:bCs/>
          <w:caps/>
          <w:sz w:val="36"/>
          <w:szCs w:val="36"/>
          <w:lang w:eastAsia="bg-BG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  <w:lang w:val="en-US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  <w:lang w:val="en-US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  <w:lang w:val="en-US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  <w:lang w:val="en-US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  <w:lang w:val="en-US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  <w:lang w:val="en-US"/>
        </w:rPr>
      </w:pP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</w:rPr>
      </w:pPr>
    </w:p>
    <w:p w:rsidR="008365C1" w:rsidRPr="00390241" w:rsidRDefault="008365C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</w:rPr>
      </w:pPr>
    </w:p>
    <w:p w:rsidR="008365C1" w:rsidRPr="00390241" w:rsidRDefault="008365C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</w:rPr>
      </w:pPr>
    </w:p>
    <w:p w:rsidR="008365C1" w:rsidRPr="00390241" w:rsidRDefault="008365C1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NewRomanPS-BoldMT"/>
          <w:bCs/>
          <w:sz w:val="24"/>
          <w:szCs w:val="24"/>
        </w:rPr>
      </w:pPr>
    </w:p>
    <w:p w:rsidR="00CB0979" w:rsidRPr="00390241" w:rsidRDefault="00CB0979" w:rsidP="00390241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NewRomanPS-BoldMT"/>
          <w:b/>
          <w:bCs/>
          <w:sz w:val="24"/>
          <w:szCs w:val="24"/>
        </w:rPr>
      </w:pPr>
    </w:p>
    <w:p w:rsidR="00CB0979" w:rsidRPr="00390241" w:rsidRDefault="007547C1" w:rsidP="007547C1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eastAsia="Times New Roman" w:cs="TimesNewRomanPS-BoldMT"/>
          <w:b/>
          <w:bCs/>
          <w:sz w:val="24"/>
          <w:szCs w:val="24"/>
        </w:rPr>
      </w:pPr>
      <w:r w:rsidRPr="00390241">
        <w:rPr>
          <w:rFonts w:eastAsia="Times New Roman" w:cs="TimesNewRomanPS-BoldMT"/>
          <w:b/>
          <w:bCs/>
          <w:sz w:val="24"/>
          <w:szCs w:val="24"/>
        </w:rPr>
        <w:t>С. БРЕНИЦА</w:t>
      </w:r>
    </w:p>
    <w:p w:rsidR="008365C1" w:rsidRPr="00390241" w:rsidRDefault="00390241" w:rsidP="007547C1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eastAsia="Times New Roman" w:cs="TimesNewRomanPS-BoldMT"/>
          <w:b/>
          <w:bCs/>
          <w:sz w:val="24"/>
          <w:szCs w:val="24"/>
        </w:rPr>
      </w:pPr>
      <w:r>
        <w:rPr>
          <w:rFonts w:eastAsia="Times New Roman" w:cs="TimesNewRomanPS-BoldMT"/>
          <w:b/>
          <w:bCs/>
          <w:sz w:val="24"/>
          <w:szCs w:val="24"/>
        </w:rPr>
        <w:t>2017</w:t>
      </w:r>
      <w:r w:rsidR="008365C1" w:rsidRPr="00390241">
        <w:rPr>
          <w:rFonts w:eastAsia="Times New Roman" w:cs="TimesNewRomanPS-BoldMT"/>
          <w:b/>
          <w:bCs/>
          <w:sz w:val="24"/>
          <w:szCs w:val="24"/>
        </w:rPr>
        <w:t xml:space="preserve"> г.</w:t>
      </w:r>
    </w:p>
    <w:p w:rsidR="00204A90" w:rsidRPr="00390241" w:rsidRDefault="00204A90" w:rsidP="007547C1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bookmarkStart w:id="1" w:name="_Toc298748179"/>
      <w:r w:rsidRPr="00390241">
        <w:rPr>
          <w:rFonts w:eastAsia="Times New Roman" w:cs="Times New Roman"/>
          <w:b/>
          <w:bCs/>
          <w:sz w:val="24"/>
          <w:szCs w:val="20"/>
        </w:rPr>
        <w:lastRenderedPageBreak/>
        <w:t>Въведение</w:t>
      </w:r>
      <w:bookmarkEnd w:id="1"/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pacing w:val="-2"/>
          <w:sz w:val="24"/>
          <w:szCs w:val="20"/>
        </w:rPr>
      </w:pPr>
      <w:r w:rsidRPr="00390241">
        <w:rPr>
          <w:rFonts w:eastAsia="Times New Roman" w:cs="Times New Roman"/>
          <w:bCs/>
          <w:spacing w:val="-2"/>
          <w:sz w:val="24"/>
          <w:szCs w:val="20"/>
        </w:rPr>
        <w:t>Стратегията е система от политики и  стратегически подходи за утвърждаване и укрепване на модер</w:t>
      </w:r>
      <w:r w:rsidR="000463BA" w:rsidRPr="00390241">
        <w:rPr>
          <w:rFonts w:eastAsia="Times New Roman" w:cs="Times New Roman"/>
          <w:bCs/>
          <w:spacing w:val="-2"/>
          <w:sz w:val="24"/>
          <w:szCs w:val="20"/>
        </w:rPr>
        <w:t>ната визия на детското градина</w:t>
      </w:r>
      <w:r w:rsidRPr="00390241">
        <w:rPr>
          <w:rFonts w:eastAsia="Times New Roman" w:cs="Times New Roman"/>
          <w:bCs/>
          <w:spacing w:val="-2"/>
          <w:sz w:val="24"/>
          <w:szCs w:val="20"/>
        </w:rPr>
        <w:t>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pacing w:val="-2"/>
          <w:sz w:val="24"/>
          <w:szCs w:val="20"/>
        </w:rPr>
      </w:pPr>
      <w:r w:rsidRPr="00390241">
        <w:rPr>
          <w:rFonts w:eastAsia="Times New Roman" w:cs="Times New Roman"/>
          <w:bCs/>
          <w:spacing w:val="-2"/>
          <w:sz w:val="24"/>
          <w:szCs w:val="20"/>
        </w:rPr>
        <w:t>Нашата водеща теза е „Щастливи деца, доволни родители, професионална удовлетвореност“.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bookmarkStart w:id="2" w:name="_Toc298748180"/>
      <w:r w:rsidRPr="00390241">
        <w:rPr>
          <w:rFonts w:eastAsia="Times New Roman" w:cs="Times New Roman"/>
          <w:b/>
          <w:bCs/>
          <w:sz w:val="24"/>
          <w:szCs w:val="20"/>
        </w:rPr>
        <w:t>І. Мисия</w:t>
      </w:r>
      <w:bookmarkEnd w:id="2"/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Мисията на </w:t>
      </w:r>
      <w:r w:rsidR="009D5202" w:rsidRPr="00390241">
        <w:rPr>
          <w:rFonts w:eastAsia="Times New Roman" w:cs="Times New Roman"/>
          <w:bCs/>
          <w:sz w:val="24"/>
          <w:szCs w:val="20"/>
        </w:rPr>
        <w:t>ДГ „Детска планета“</w:t>
      </w:r>
      <w:r w:rsidRPr="00390241">
        <w:rPr>
          <w:rFonts w:eastAsia="Times New Roman" w:cs="Times New Roman"/>
          <w:bCs/>
          <w:i/>
          <w:iCs/>
          <w:sz w:val="20"/>
          <w:szCs w:val="20"/>
        </w:rPr>
        <w:t xml:space="preserve"> </w:t>
      </w:r>
      <w:r w:rsidRPr="00390241">
        <w:rPr>
          <w:rFonts w:eastAsia="Times New Roman" w:cs="Times New Roman"/>
          <w:bCs/>
          <w:sz w:val="24"/>
          <w:szCs w:val="20"/>
        </w:rPr>
        <w:t>да създава, в партньорство с родителите,  модерна и благоприятна среда за развитие на всяко дете.</w:t>
      </w:r>
      <w:r w:rsidR="000463BA" w:rsidRPr="00390241">
        <w:rPr>
          <w:rFonts w:eastAsia="Times New Roman" w:cs="Times New Roman"/>
          <w:bCs/>
          <w:sz w:val="24"/>
          <w:szCs w:val="20"/>
        </w:rPr>
        <w:t xml:space="preserve"> Да осигури, здравно-хигиенни, материални и педагогически условия необходими за качествен образователен процес, съобразен с европейските норми и стандарти и да осигури благоприятна среда за изграждане на свободна, интелигентна, инициативна, ценностно ориентирана и мотивирана личност, уважаваща правата на другите, спазваща природните и обществени закони, способна пълноценно да се развива в живота.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bookmarkStart w:id="3" w:name="_Toc298748181"/>
      <w:r w:rsidRPr="00390241">
        <w:rPr>
          <w:rFonts w:eastAsia="Times New Roman" w:cs="Times New Roman"/>
          <w:b/>
          <w:bCs/>
          <w:sz w:val="24"/>
          <w:szCs w:val="20"/>
        </w:rPr>
        <w:t>ІІ. Визия</w:t>
      </w:r>
      <w:bookmarkEnd w:id="3"/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Настоящата стратегия е ориентирана към следната визия:</w:t>
      </w:r>
    </w:p>
    <w:p w:rsidR="00204A90" w:rsidRPr="00390241" w:rsidRDefault="009D5202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ДГ „Детска планета“</w:t>
      </w:r>
      <w:r w:rsidR="00204A90" w:rsidRPr="00390241">
        <w:rPr>
          <w:rFonts w:eastAsia="Times New Roman" w:cs="Times New Roman"/>
          <w:bCs/>
          <w:i/>
          <w:iCs/>
          <w:sz w:val="20"/>
          <w:szCs w:val="20"/>
        </w:rPr>
        <w:t xml:space="preserve"> </w:t>
      </w:r>
      <w:r w:rsidR="00204A90" w:rsidRPr="00390241">
        <w:rPr>
          <w:rFonts w:eastAsia="Times New Roman" w:cs="Times New Roman"/>
          <w:b/>
          <w:bCs/>
          <w:i/>
          <w:iCs/>
          <w:sz w:val="20"/>
          <w:szCs w:val="20"/>
        </w:rPr>
        <w:t xml:space="preserve">– </w:t>
      </w:r>
      <w:r w:rsidR="00204A90" w:rsidRPr="00390241">
        <w:rPr>
          <w:rFonts w:eastAsia="Times New Roman" w:cs="Times New Roman"/>
          <w:bCs/>
          <w:iCs/>
          <w:sz w:val="20"/>
          <w:szCs w:val="20"/>
        </w:rPr>
        <w:t xml:space="preserve"> </w:t>
      </w:r>
      <w:r w:rsidR="00204A90" w:rsidRPr="00390241">
        <w:rPr>
          <w:rFonts w:eastAsia="Times New Roman" w:cs="Times New Roman"/>
          <w:bCs/>
          <w:sz w:val="24"/>
          <w:szCs w:val="20"/>
        </w:rPr>
        <w:t>привлекателна и желана образователна институция, където детето се чувства щастливо, защитено, разбирано и подкрепяно.</w:t>
      </w:r>
      <w:r w:rsidR="00DF1949" w:rsidRPr="00390241">
        <w:rPr>
          <w:rFonts w:eastAsia="Times New Roman" w:cs="Times New Roman"/>
          <w:bCs/>
          <w:sz w:val="24"/>
          <w:szCs w:val="20"/>
        </w:rPr>
        <w:t xml:space="preserve"> Любимо място на детето, осигуряващо емоционален комфорт и целенасочена подготовка за училище.</w:t>
      </w:r>
    </w:p>
    <w:p w:rsidR="000463BA" w:rsidRPr="00390241" w:rsidRDefault="000463BA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CB0979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  <w:lang w:val="en-US"/>
        </w:rPr>
      </w:pPr>
    </w:p>
    <w:p w:rsidR="009D5202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</w:rPr>
      </w:pPr>
      <w:bookmarkStart w:id="4" w:name="_Toc298748182"/>
      <w:r w:rsidRPr="00390241">
        <w:rPr>
          <w:rFonts w:eastAsia="Times New Roman" w:cs="Times New Roman"/>
          <w:b/>
          <w:bCs/>
          <w:sz w:val="24"/>
          <w:szCs w:val="20"/>
        </w:rPr>
        <w:t>ІІІ. Ц</w:t>
      </w:r>
      <w:r w:rsidRPr="00390241">
        <w:rPr>
          <w:rFonts w:eastAsia="Times New Roman" w:cs="Times New Roman"/>
          <w:b/>
          <w:bCs/>
          <w:sz w:val="24"/>
          <w:szCs w:val="24"/>
        </w:rPr>
        <w:t>ел на стратегията</w:t>
      </w:r>
      <w:bookmarkEnd w:id="4"/>
      <w:r w:rsidRPr="00390241">
        <w:rPr>
          <w:rFonts w:eastAsia="Times New Roman" w:cs="Times New Roman"/>
          <w:bCs/>
          <w:sz w:val="24"/>
          <w:szCs w:val="24"/>
        </w:rPr>
        <w:t xml:space="preserve"> 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Изграждане на иновативна образователна среда за достъп и равен шанс за предучилищно възпитание на всички деца.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Утвърждаване на отличителен имидж на </w:t>
      </w:r>
      <w:r w:rsidR="009D5202" w:rsidRPr="00390241">
        <w:rPr>
          <w:rFonts w:eastAsia="Times New Roman" w:cs="Times New Roman"/>
          <w:bCs/>
          <w:sz w:val="24"/>
          <w:szCs w:val="20"/>
        </w:rPr>
        <w:t>ДГ „Детска планета“</w:t>
      </w:r>
      <w:r w:rsidRPr="00390241">
        <w:rPr>
          <w:rFonts w:eastAsia="Times New Roman" w:cs="Times New Roman"/>
          <w:bCs/>
          <w:sz w:val="24"/>
          <w:szCs w:val="20"/>
        </w:rPr>
        <w:t xml:space="preserve"> – средище за гарантиране на пълноценна психолого-педагогическа подкрепа на съвременното дете.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Задачи</w:t>
      </w:r>
      <w:r w:rsidRPr="00390241">
        <w:rPr>
          <w:rFonts w:eastAsia="Times New Roman" w:cs="Times New Roman"/>
          <w:bCs/>
          <w:sz w:val="24"/>
          <w:szCs w:val="20"/>
        </w:rPr>
        <w:t>: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Изграждане на организационна култура, ориентирана км утвърждаване на ценности и просперитет.</w:t>
      </w:r>
    </w:p>
    <w:p w:rsidR="00204A90" w:rsidRPr="00390241" w:rsidRDefault="00204A90" w:rsidP="00204A9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Съхранение и развитие на знанието в институцията.</w:t>
      </w:r>
    </w:p>
    <w:p w:rsidR="00204A90" w:rsidRPr="00390241" w:rsidRDefault="00204A90" w:rsidP="00204A9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Утвърждаване на система от педагогически дейности в най-добър интерес на детето и неговия успех.</w:t>
      </w:r>
    </w:p>
    <w:p w:rsidR="00204A90" w:rsidRPr="00390241" w:rsidRDefault="00204A90" w:rsidP="00204A9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Модернизиране на управлението на детското заведение за адекватни отговори на  постоянно променящата се среда и в съответствие с актуалните обществени очаквания към предучилищното възпитание и подготовка </w:t>
      </w:r>
    </w:p>
    <w:p w:rsidR="00204A90" w:rsidRPr="00390241" w:rsidRDefault="00204A90" w:rsidP="00204A90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Привличане на родителите като партньори за изпълнение на образователни цели.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bookmarkStart w:id="5" w:name="_Toc298748183"/>
      <w:r w:rsidRPr="00390241">
        <w:rPr>
          <w:rFonts w:eastAsia="Times New Roman" w:cs="Times New Roman"/>
          <w:b/>
          <w:bCs/>
          <w:sz w:val="24"/>
          <w:szCs w:val="20"/>
        </w:rPr>
        <w:t>ІV. Водещи принципи</w:t>
      </w:r>
      <w:bookmarkEnd w:id="5"/>
      <w:r w:rsidRPr="00390241">
        <w:rPr>
          <w:rFonts w:eastAsia="Times New Roman" w:cs="Times New Roman"/>
          <w:bCs/>
          <w:sz w:val="24"/>
          <w:szCs w:val="20"/>
        </w:rPr>
        <w:t xml:space="preserve">  </w:t>
      </w:r>
      <w:r w:rsidRPr="00390241">
        <w:rPr>
          <w:rFonts w:eastAsia="Times New Roman" w:cs="Times New Roman"/>
          <w:b/>
          <w:bCs/>
          <w:sz w:val="24"/>
          <w:szCs w:val="20"/>
        </w:rPr>
        <w:t>и споделени ценности</w:t>
      </w:r>
      <w:r w:rsidRPr="00390241">
        <w:rPr>
          <w:rFonts w:eastAsia="Times New Roman" w:cs="Times New Roman"/>
          <w:bCs/>
          <w:sz w:val="24"/>
          <w:szCs w:val="20"/>
        </w:rPr>
        <w:t>:</w:t>
      </w:r>
    </w:p>
    <w:p w:rsidR="00204A90" w:rsidRPr="00390241" w:rsidRDefault="00204A90" w:rsidP="00204A9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Хуманност и демократичност.</w:t>
      </w:r>
    </w:p>
    <w:p w:rsidR="00204A90" w:rsidRPr="00390241" w:rsidRDefault="00204A90" w:rsidP="00204A9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Позитивизъм и доверие.</w:t>
      </w:r>
    </w:p>
    <w:p w:rsidR="00204A90" w:rsidRPr="00390241" w:rsidRDefault="00204A90" w:rsidP="00204A9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Добронамереност и подкрепа.</w:t>
      </w:r>
    </w:p>
    <w:p w:rsidR="00204A90" w:rsidRPr="00390241" w:rsidRDefault="00204A90" w:rsidP="00204A9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Екипност.</w:t>
      </w:r>
    </w:p>
    <w:p w:rsidR="00204A90" w:rsidRPr="00390241" w:rsidRDefault="00204A90" w:rsidP="00204A9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Ефективност и резултатност.</w:t>
      </w:r>
    </w:p>
    <w:p w:rsidR="00204A90" w:rsidRPr="00390241" w:rsidRDefault="00204A90" w:rsidP="00204A90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Споделена отговорност.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Нашите ценности са: детето и</w:t>
      </w:r>
      <w:r w:rsidR="00765038" w:rsidRPr="00390241">
        <w:rPr>
          <w:rFonts w:eastAsia="Times New Roman" w:cs="Times New Roman"/>
          <w:bCs/>
          <w:sz w:val="24"/>
          <w:szCs w:val="20"/>
        </w:rPr>
        <w:t xml:space="preserve"> неговото</w:t>
      </w:r>
      <w:r w:rsidRPr="00390241">
        <w:rPr>
          <w:rFonts w:eastAsia="Times New Roman" w:cs="Times New Roman"/>
          <w:bCs/>
          <w:sz w:val="24"/>
          <w:szCs w:val="20"/>
        </w:rPr>
        <w:t xml:space="preserve"> детството.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lastRenderedPageBreak/>
        <w:t xml:space="preserve">  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</w:rPr>
      </w:pPr>
      <w:bookmarkStart w:id="6" w:name="_Toc298748184"/>
      <w:r w:rsidRPr="00390241">
        <w:rPr>
          <w:rFonts w:eastAsia="Times New Roman" w:cs="Times New Roman"/>
          <w:b/>
          <w:bCs/>
          <w:sz w:val="24"/>
          <w:szCs w:val="20"/>
        </w:rPr>
        <w:t xml:space="preserve">V. </w:t>
      </w:r>
      <w:bookmarkEnd w:id="6"/>
      <w:r w:rsidRPr="00390241">
        <w:rPr>
          <w:rFonts w:eastAsia="Times New Roman" w:cs="Times New Roman"/>
          <w:b/>
          <w:bCs/>
          <w:sz w:val="24"/>
          <w:szCs w:val="20"/>
        </w:rPr>
        <w:t xml:space="preserve">Актуални тенденции. Анализ на техните съдържателни </w:t>
      </w:r>
      <w:r w:rsidRPr="00390241">
        <w:rPr>
          <w:rFonts w:eastAsia="Times New Roman" w:cs="Times New Roman"/>
          <w:b/>
          <w:bCs/>
          <w:sz w:val="24"/>
          <w:szCs w:val="24"/>
        </w:rPr>
        <w:t>характеристики</w:t>
      </w:r>
      <w:r w:rsidRPr="00390241">
        <w:rPr>
          <w:rFonts w:eastAsia="Times New Roman" w:cs="Times New Roman"/>
          <w:bCs/>
          <w:sz w:val="24"/>
          <w:szCs w:val="24"/>
        </w:rPr>
        <w:t xml:space="preserve"> </w:t>
      </w:r>
    </w:p>
    <w:p w:rsidR="00DF1949" w:rsidRPr="00390241" w:rsidRDefault="00DF194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ДГ „Детска планета“ се намира в с. Бреница, община Кнежа, обл. Плевен, ул. „Христо Ботев“ № 10. Детската градина се помещава в двуетажна сграда построена за целта по типов проект през 1974 г. за 12</w:t>
      </w:r>
      <w:r w:rsidR="004B0722" w:rsidRPr="00390241">
        <w:rPr>
          <w:rFonts w:eastAsia="Times New Roman" w:cs="Times New Roman"/>
          <w:bCs/>
          <w:sz w:val="24"/>
          <w:szCs w:val="24"/>
        </w:rPr>
        <w:t>0 деца, разположена върху общински терен с площ 8 дка. Сградата е съобразена с всички санитарно-хигиенни изисквания и условия за правилно отглеждане и възпитание на децата и за провеждането на цялостен педагогически процес.</w:t>
      </w:r>
      <w:r w:rsidR="00081CA1" w:rsidRPr="00390241">
        <w:rPr>
          <w:rFonts w:eastAsia="Times New Roman" w:cs="Times New Roman"/>
          <w:bCs/>
          <w:sz w:val="24"/>
          <w:szCs w:val="24"/>
        </w:rPr>
        <w:t xml:space="preserve"> Детската</w:t>
      </w:r>
      <w:r w:rsidR="00AE421D" w:rsidRPr="00390241">
        <w:rPr>
          <w:rFonts w:eastAsia="Times New Roman" w:cs="Times New Roman"/>
          <w:bCs/>
          <w:sz w:val="24"/>
          <w:szCs w:val="24"/>
        </w:rPr>
        <w:t xml:space="preserve"> градина се състой от 1 яслена,  1</w:t>
      </w:r>
      <w:r w:rsidR="00722C27" w:rsidRPr="00390241">
        <w:rPr>
          <w:rFonts w:eastAsia="Times New Roman" w:cs="Times New Roman"/>
          <w:bCs/>
          <w:sz w:val="24"/>
          <w:szCs w:val="24"/>
        </w:rPr>
        <w:t xml:space="preserve"> груп</w:t>
      </w:r>
      <w:r w:rsidR="00AE421D" w:rsidRPr="00390241">
        <w:rPr>
          <w:rFonts w:eastAsia="Times New Roman" w:cs="Times New Roman"/>
          <w:bCs/>
          <w:sz w:val="24"/>
          <w:szCs w:val="24"/>
        </w:rPr>
        <w:t>а 3-4 год и 1 ПГ 5-6 год.</w:t>
      </w:r>
      <w:r w:rsidR="00722C27" w:rsidRPr="00390241">
        <w:rPr>
          <w:rFonts w:eastAsia="Times New Roman" w:cs="Times New Roman"/>
          <w:bCs/>
          <w:sz w:val="24"/>
          <w:szCs w:val="24"/>
        </w:rPr>
        <w:t xml:space="preserve"> деца. Всяка група се състои от занималня, спалня, сервизно помещение, офис и съблекалня. Към детската градина</w:t>
      </w:r>
      <w:r w:rsidR="00831F27" w:rsidRPr="00390241">
        <w:rPr>
          <w:rFonts w:eastAsia="Times New Roman" w:cs="Times New Roman"/>
          <w:bCs/>
          <w:sz w:val="24"/>
          <w:szCs w:val="24"/>
        </w:rPr>
        <w:t xml:space="preserve"> са обособени административен и кухненски блок.</w:t>
      </w:r>
      <w:r w:rsidR="00722C27" w:rsidRPr="00390241">
        <w:rPr>
          <w:rFonts w:eastAsia="Times New Roman" w:cs="Times New Roman"/>
          <w:bCs/>
          <w:sz w:val="24"/>
          <w:szCs w:val="24"/>
        </w:rPr>
        <w:t xml:space="preserve"> </w:t>
      </w:r>
      <w:r w:rsidR="004B0722" w:rsidRPr="00390241">
        <w:rPr>
          <w:rFonts w:eastAsia="Times New Roman" w:cs="Times New Roman"/>
          <w:bCs/>
          <w:sz w:val="24"/>
          <w:szCs w:val="24"/>
        </w:rPr>
        <w:t xml:space="preserve"> Финансирането се осъществява със средства от държавния бюджет чрез бюджета на община Кнежа.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8"/>
          <w:szCs w:val="28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 w:rsidRPr="00390241">
        <w:rPr>
          <w:rFonts w:eastAsia="Times New Roman" w:cs="Times New Roman"/>
          <w:b/>
          <w:bCs/>
          <w:sz w:val="24"/>
          <w:szCs w:val="24"/>
        </w:rPr>
        <w:t xml:space="preserve">1. Анализ на състоянието на детската градина и външната среда 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 w:rsidRPr="00390241">
        <w:rPr>
          <w:rFonts w:eastAsia="Times New Roman" w:cs="Times New Roman"/>
          <w:b/>
          <w:bCs/>
          <w:sz w:val="24"/>
          <w:szCs w:val="24"/>
        </w:rPr>
        <w:t>1.1. Деца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pacing w:val="-2"/>
          <w:sz w:val="24"/>
          <w:szCs w:val="24"/>
        </w:rPr>
        <w:t>В</w:t>
      </w:r>
      <w:r w:rsidR="009D5202" w:rsidRPr="00390241">
        <w:rPr>
          <w:rFonts w:eastAsia="Times New Roman" w:cs="Times New Roman"/>
          <w:bCs/>
          <w:spacing w:val="-2"/>
          <w:sz w:val="24"/>
          <w:szCs w:val="24"/>
        </w:rPr>
        <w:t xml:space="preserve"> ДГ „Детска планета“</w:t>
      </w:r>
      <w:r w:rsidRPr="00390241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Pr="00390241">
        <w:rPr>
          <w:rFonts w:eastAsia="Times New Roman" w:cs="Times New Roman"/>
          <w:bCs/>
          <w:spacing w:val="-2"/>
          <w:sz w:val="24"/>
          <w:szCs w:val="24"/>
        </w:rPr>
        <w:t xml:space="preserve">се приемат деца </w:t>
      </w:r>
      <w:r w:rsidR="009D5202" w:rsidRPr="00390241">
        <w:rPr>
          <w:rFonts w:eastAsia="Times New Roman" w:cs="Times New Roman"/>
          <w:bCs/>
          <w:spacing w:val="-2"/>
          <w:sz w:val="24"/>
          <w:szCs w:val="24"/>
        </w:rPr>
        <w:t xml:space="preserve">от 10 месечна възраст до постъпването им в </w:t>
      </w:r>
      <w:r w:rsidR="00C50DBA" w:rsidRPr="00390241">
        <w:rPr>
          <w:rFonts w:eastAsia="Times New Roman" w:cs="Times New Roman"/>
          <w:bCs/>
          <w:spacing w:val="-2"/>
          <w:sz w:val="24"/>
          <w:szCs w:val="24"/>
        </w:rPr>
        <w:t>първи клас</w:t>
      </w:r>
      <w:r w:rsidRPr="00390241">
        <w:rPr>
          <w:rFonts w:eastAsia="Times New Roman" w:cs="Times New Roman"/>
          <w:bCs/>
          <w:spacing w:val="-2"/>
          <w:sz w:val="24"/>
          <w:szCs w:val="24"/>
        </w:rPr>
        <w:t xml:space="preserve">.  </w:t>
      </w:r>
      <w:r w:rsidR="00C50DBA" w:rsidRPr="00390241">
        <w:rPr>
          <w:rFonts w:eastAsia="Times New Roman" w:cs="Times New Roman"/>
          <w:bCs/>
          <w:spacing w:val="-2"/>
          <w:sz w:val="24"/>
          <w:szCs w:val="24"/>
        </w:rPr>
        <w:t>Децата са разпределени в една яслена група за деца от 10 месеца до 3 годишна възраст и две групи за деца от 3 до 7 годишна възраст. Групите се формират по възрастов принцип, като не се допуска подбор по пол, етническа, религиозна и социална принадлежност или по друг диференциран признак. Възпитанието и обучението се организира и провежда в съответствие с Наредба № 5 за предучилищното образование и осигурява готовност на децата за училищно обучение.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pacing w:val="-2"/>
          <w:sz w:val="24"/>
          <w:szCs w:val="24"/>
        </w:rPr>
      </w:pPr>
    </w:p>
    <w:tbl>
      <w:tblPr>
        <w:tblW w:w="890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2"/>
        <w:gridCol w:w="4452"/>
      </w:tblGrid>
      <w:tr w:rsidR="00204A90" w:rsidRPr="00390241" w:rsidTr="004C69D2">
        <w:trPr>
          <w:trHeight w:val="284"/>
          <w:jc w:val="center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Слаби страни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Силни страни</w:t>
            </w:r>
          </w:p>
        </w:tc>
      </w:tr>
      <w:tr w:rsidR="00204A90" w:rsidRPr="00390241" w:rsidTr="004C69D2">
        <w:trPr>
          <w:trHeight w:val="284"/>
          <w:jc w:val="center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Работа в смесени възрастови групи.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Недостатъчна ангажираност на родителите</w:t>
            </w: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.</w:t>
            </w:r>
          </w:p>
          <w:p w:rsidR="00204A90" w:rsidRPr="00390241" w:rsidRDefault="00204A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Нередовна посещаемост. </w:t>
            </w:r>
          </w:p>
          <w:p w:rsidR="00204A90" w:rsidRPr="00390241" w:rsidRDefault="00204A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"/>
                <w:color w:val="000000"/>
                <w:sz w:val="24"/>
                <w:szCs w:val="24"/>
              </w:rPr>
              <w:t>Висока забаляваемост на децата.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A90" w:rsidRPr="00390241" w:rsidRDefault="00204A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Възможности родителите да избират организация на предучилищното образование.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Механизъм за безпроблемна адаптация на децата  в условията на детската среда.</w:t>
            </w:r>
          </w:p>
          <w:p w:rsidR="00204A90" w:rsidRPr="00390241" w:rsidRDefault="00204A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Модули за допълнително изичаване на  български език.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C50DBA" w:rsidRPr="00390241" w:rsidRDefault="00204A90" w:rsidP="00C50D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Програма за здравно развитие на децата.</w:t>
            </w:r>
          </w:p>
        </w:tc>
      </w:tr>
      <w:tr w:rsidR="00204A90" w:rsidRPr="00390241" w:rsidTr="004C69D2">
        <w:trPr>
          <w:trHeight w:val="284"/>
          <w:jc w:val="center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5858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Финасова несъстоянелност на все повече родители да заплащат таксите.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Затруднения:</w:t>
            </w:r>
            <w:r w:rsidRPr="00390241"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Траен демографски срив и липса на деца.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Затруднения при сформирането на групите и редовната посещаемост на децата.</w:t>
            </w:r>
          </w:p>
        </w:tc>
      </w:tr>
      <w:tr w:rsidR="00204A90" w:rsidRPr="00390241" w:rsidTr="004C69D2">
        <w:trPr>
          <w:trHeight w:val="284"/>
          <w:jc w:val="center"/>
        </w:trPr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585890" w:rsidP="00204A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Наплив на деца през пролетно-летния период и ниска 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посещаемост през зимните месеци.</w:t>
            </w:r>
          </w:p>
        </w:tc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Възможности и перспективи: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lastRenderedPageBreak/>
              <w:t>Механизъм за безпроблемна адаптация на децата  в условията на детската среда.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"/>
                <w:iCs/>
                <w:color w:val="000000"/>
                <w:sz w:val="24"/>
                <w:szCs w:val="24"/>
                <w:lang w:val="en-GB"/>
              </w:rPr>
              <w:t xml:space="preserve">Програма за </w:t>
            </w:r>
            <w:proofErr w:type="spellStart"/>
            <w:r w:rsidRPr="00390241">
              <w:rPr>
                <w:rFonts w:eastAsia="Calibri" w:cs="Times"/>
                <w:iCs/>
                <w:color w:val="000000"/>
                <w:sz w:val="24"/>
                <w:szCs w:val="24"/>
                <w:lang w:val="en-GB"/>
              </w:rPr>
              <w:t>здравно</w:t>
            </w:r>
            <w:proofErr w:type="spellEnd"/>
            <w:r w:rsidRPr="00390241">
              <w:rPr>
                <w:rFonts w:eastAsia="Calibri" w:cs="Times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241">
              <w:rPr>
                <w:rFonts w:eastAsia="Calibri" w:cs="Times"/>
                <w:iCs/>
                <w:color w:val="000000"/>
                <w:sz w:val="24"/>
                <w:szCs w:val="24"/>
                <w:lang w:val="en-GB"/>
              </w:rPr>
              <w:t>развитие</w:t>
            </w:r>
            <w:proofErr w:type="spellEnd"/>
            <w:r w:rsidRPr="00390241">
              <w:rPr>
                <w:rFonts w:eastAsia="Calibri" w:cs="Times"/>
                <w:iCs/>
                <w:color w:val="000000"/>
                <w:sz w:val="24"/>
                <w:szCs w:val="24"/>
                <w:lang w:val="en-GB"/>
              </w:rPr>
              <w:t xml:space="preserve"> на </w:t>
            </w:r>
            <w:proofErr w:type="spellStart"/>
            <w:r w:rsidRPr="00390241">
              <w:rPr>
                <w:rFonts w:eastAsia="Calibri" w:cs="Times"/>
                <w:iCs/>
                <w:color w:val="000000"/>
                <w:sz w:val="24"/>
                <w:szCs w:val="24"/>
                <w:lang w:val="en-GB"/>
              </w:rPr>
              <w:t>децата</w:t>
            </w:r>
            <w:proofErr w:type="spellEnd"/>
            <w:r w:rsidRPr="00390241">
              <w:rPr>
                <w:rFonts w:eastAsia="Calibri" w:cs="Times"/>
                <w:iCs/>
                <w:color w:val="000000"/>
                <w:sz w:val="24"/>
                <w:szCs w:val="24"/>
                <w:lang w:val="en-GB"/>
              </w:rPr>
              <w:t>.</w:t>
            </w:r>
          </w:p>
        </w:tc>
      </w:tr>
    </w:tbl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pacing w:val="-2"/>
          <w:sz w:val="24"/>
          <w:szCs w:val="24"/>
        </w:rPr>
      </w:pPr>
    </w:p>
    <w:p w:rsidR="00204A90" w:rsidRPr="00390241" w:rsidRDefault="00204A90" w:rsidP="00204A90">
      <w:pPr>
        <w:spacing w:after="0" w:line="240" w:lineRule="auto"/>
        <w:ind w:firstLine="185"/>
        <w:rPr>
          <w:rFonts w:eastAsia="Times New Roman" w:cs="Times New Roman"/>
          <w:b/>
          <w:sz w:val="24"/>
          <w:szCs w:val="24"/>
          <w:lang w:eastAsia="bg-BG"/>
        </w:rPr>
      </w:pPr>
      <w:r w:rsidRPr="00390241">
        <w:rPr>
          <w:rFonts w:eastAsia="Times New Roman" w:cs="Times New Roman"/>
          <w:b/>
          <w:sz w:val="24"/>
          <w:szCs w:val="24"/>
          <w:lang w:eastAsia="bg-BG"/>
        </w:rPr>
        <w:t>1.2. Педагогическо взаимодействие</w:t>
      </w:r>
      <w:r w:rsidRPr="00390241">
        <w:rPr>
          <w:rFonts w:eastAsia="Times New Roman" w:cs="Times New Roman"/>
          <w:sz w:val="24"/>
          <w:szCs w:val="24"/>
          <w:lang w:eastAsia="bg-BG"/>
        </w:rPr>
        <w:t>:</w:t>
      </w:r>
    </w:p>
    <w:p w:rsidR="00204A90" w:rsidRPr="00390241" w:rsidRDefault="00204A90" w:rsidP="00204A90">
      <w:pPr>
        <w:spacing w:after="0" w:line="240" w:lineRule="auto"/>
        <w:ind w:firstLine="185"/>
        <w:jc w:val="both"/>
        <w:rPr>
          <w:rFonts w:eastAsia="Times New Roman" w:cs="Times New Roman"/>
          <w:bCs/>
          <w:sz w:val="24"/>
          <w:szCs w:val="24"/>
        </w:rPr>
      </w:pPr>
    </w:p>
    <w:p w:rsidR="00204A90" w:rsidRPr="00390241" w:rsidRDefault="00204A90" w:rsidP="00204A90">
      <w:pPr>
        <w:spacing w:after="0" w:line="240" w:lineRule="auto"/>
        <w:ind w:firstLine="185"/>
        <w:jc w:val="both"/>
        <w:rPr>
          <w:rFonts w:eastAsia="Times New Roman" w:cs="Times New Roman"/>
          <w:sz w:val="24"/>
          <w:szCs w:val="24"/>
          <w:lang w:eastAsia="bg-BG"/>
        </w:rPr>
      </w:pPr>
      <w:r w:rsidRPr="00390241">
        <w:rPr>
          <w:rFonts w:eastAsia="Times New Roman" w:cs="Times New Roman"/>
          <w:bCs/>
          <w:sz w:val="24"/>
          <w:szCs w:val="24"/>
        </w:rPr>
        <w:t>Педагогическото взаимодействие с децата е ориентирано към постигане на ДОС за предучи</w:t>
      </w:r>
      <w:r w:rsidRPr="00390241">
        <w:rPr>
          <w:rFonts w:eastAsia="Times New Roman" w:cs="Times New Roman"/>
          <w:spacing w:val="-2"/>
          <w:sz w:val="24"/>
          <w:szCs w:val="24"/>
          <w:lang w:eastAsia="bg-BG"/>
        </w:rPr>
        <w:t>лищно образование и изпълнение на принципите и целите на ЗПУО чрез</w:t>
      </w:r>
      <w:r w:rsidR="00585890" w:rsidRPr="00390241">
        <w:rPr>
          <w:rFonts w:eastAsia="Times New Roman" w:cs="Times New Roman"/>
          <w:spacing w:val="-2"/>
          <w:sz w:val="24"/>
          <w:szCs w:val="24"/>
          <w:lang w:eastAsia="bg-BG"/>
        </w:rPr>
        <w:t xml:space="preserve"> въвеждането им в предметната и материалната среда, ориентирането им в общочовешките ценности и формиране на определени умения и навици за адаптиране към новата среда и към ученето. Организацията на образователно-възпитателния процес в детската градина е изцяло съобразен и подчинен на тази цел. Педагогическото взаимодействие Учител – дете е организирано така, че да привлича вниманието, да стимулира интересите, активността и творческите прояви</w:t>
      </w:r>
      <w:r w:rsidR="00301C1B" w:rsidRPr="00390241">
        <w:rPr>
          <w:rFonts w:eastAsia="Times New Roman" w:cs="Times New Roman"/>
          <w:spacing w:val="-2"/>
          <w:sz w:val="24"/>
          <w:szCs w:val="24"/>
          <w:lang w:eastAsia="bg-BG"/>
        </w:rPr>
        <w:t>, да е съобразено с актуалните интереси на децата и да има личностен смисъл за всяко дете.</w:t>
      </w:r>
    </w:p>
    <w:p w:rsidR="00204A90" w:rsidRPr="00390241" w:rsidRDefault="00204A90" w:rsidP="00204A90">
      <w:pPr>
        <w:spacing w:after="0" w:line="240" w:lineRule="auto"/>
        <w:ind w:firstLine="185"/>
        <w:rPr>
          <w:rFonts w:eastAsia="Times New Roman" w:cs="Times New Roman"/>
          <w:sz w:val="24"/>
          <w:szCs w:val="24"/>
          <w:lang w:eastAsia="bg-BG"/>
        </w:rPr>
      </w:pP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7"/>
        <w:gridCol w:w="4365"/>
      </w:tblGrid>
      <w:tr w:rsidR="00204A90" w:rsidRPr="00390241" w:rsidTr="004C69D2">
        <w:trPr>
          <w:trHeight w:val="284"/>
          <w:jc w:val="center"/>
        </w:trPr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</w:rPr>
              <w:t>Силни страни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</w:rPr>
              <w:t>Слаби страни</w:t>
            </w:r>
          </w:p>
        </w:tc>
      </w:tr>
      <w:tr w:rsidR="00204A90" w:rsidRPr="00390241" w:rsidTr="004C69D2">
        <w:trPr>
          <w:trHeight w:val="894"/>
          <w:jc w:val="center"/>
        </w:trPr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Възможности  учителите да  избират форми, методи и средства.</w:t>
            </w:r>
          </w:p>
          <w:p w:rsidR="00301C1B" w:rsidRPr="00390241" w:rsidRDefault="00301C1B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Възможности учителите да изберат познавателни книжки и учебни помагала.</w:t>
            </w:r>
          </w:p>
          <w:p w:rsidR="00204A90" w:rsidRPr="00390241" w:rsidRDefault="00301C1B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Спазване на ДОС като гарант за качество и творчество в прилагане на педагогическите модели на взаимодействие деца – учител.</w:t>
            </w:r>
          </w:p>
          <w:p w:rsidR="00204A90" w:rsidRPr="00390241" w:rsidRDefault="00301C1B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Успешно прилагане на интегрирано обучение на деца от етническите малцинства.</w:t>
            </w:r>
          </w:p>
          <w:p w:rsidR="00301C1B" w:rsidRPr="00390241" w:rsidRDefault="00301C1B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Право на избор на децата за участие в различни дейности.</w:t>
            </w:r>
          </w:p>
          <w:p w:rsidR="00301C1B" w:rsidRPr="00390241" w:rsidRDefault="00301C1B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Създадени условия за максимална свобода на децата в границите на разумното и допустимото.</w:t>
            </w:r>
          </w:p>
          <w:p w:rsidR="00301C1B" w:rsidRPr="00390241" w:rsidRDefault="00301C1B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Даване възможност за изява на художествено-творческите способности на децата, чрез участие в концерти, конкурси, изложби и др.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52" w:lineRule="atLeast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Голям брой деца, чийто майчин език не е български.</w:t>
            </w:r>
          </w:p>
          <w:p w:rsidR="00204A90" w:rsidRPr="00390241" w:rsidRDefault="005F39F9" w:rsidP="001541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Недостатъчно използване на съвременни педагогически и игрови техники и технологии.</w:t>
            </w:r>
          </w:p>
        </w:tc>
      </w:tr>
      <w:tr w:rsidR="00204A90" w:rsidRPr="00390241" w:rsidTr="004C69D2">
        <w:trPr>
          <w:trHeight w:val="278"/>
          <w:jc w:val="center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Възможности и перспективи</w:t>
            </w:r>
            <w:r w:rsidRPr="00390241">
              <w:rPr>
                <w:rFonts w:eastAsia="Calibri" w:cs="Times New Roman"/>
                <w:bCs/>
                <w:color w:val="000000"/>
                <w:sz w:val="24"/>
                <w:szCs w:val="24"/>
              </w:rPr>
              <w:t>: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Програмна система на детската градина и тематично разпределение за всяка възрастова група.</w:t>
            </w:r>
          </w:p>
          <w:p w:rsidR="00204A90" w:rsidRPr="00390241" w:rsidRDefault="00301C1B" w:rsidP="00204A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Използване на мултимедийни образователни продукти, свързани с учебното съдържание.</w:t>
            </w:r>
          </w:p>
          <w:p w:rsidR="00301C1B" w:rsidRPr="00390241" w:rsidRDefault="00301C1B" w:rsidP="00204A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Въвеждане и разширяване използването на иновационни и интерактивни методи на възпитание и обучение.</w:t>
            </w:r>
          </w:p>
          <w:p w:rsidR="00204A90" w:rsidRPr="00390241" w:rsidRDefault="00204A90" w:rsidP="00204A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iCs/>
                <w:color w:val="000000"/>
                <w:sz w:val="24"/>
                <w:szCs w:val="24"/>
              </w:rPr>
              <w:t>Модули за допълнително изучаване на  български език.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204A90" w:rsidRPr="00390241" w:rsidRDefault="00204A90" w:rsidP="00204A90">
      <w:pPr>
        <w:spacing w:after="0" w:line="240" w:lineRule="auto"/>
        <w:ind w:firstLine="185"/>
        <w:rPr>
          <w:rFonts w:eastAsia="Times New Roman" w:cs="Times New Roman"/>
          <w:sz w:val="24"/>
          <w:szCs w:val="24"/>
          <w:lang w:eastAsia="bg-BG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1.3. Квалификация и  професионално развитие на педагогическите специалисти</w:t>
      </w:r>
      <w:r w:rsidRPr="00390241">
        <w:rPr>
          <w:rFonts w:eastAsia="Times New Roman" w:cs="Times New Roman"/>
          <w:bCs/>
          <w:sz w:val="24"/>
          <w:szCs w:val="20"/>
        </w:rPr>
        <w:t>:</w:t>
      </w:r>
    </w:p>
    <w:p w:rsidR="00204A90" w:rsidRPr="00390241" w:rsidRDefault="00204A90" w:rsidP="00204A90">
      <w:pPr>
        <w:spacing w:after="0" w:line="240" w:lineRule="auto"/>
        <w:ind w:firstLine="185"/>
        <w:rPr>
          <w:rFonts w:eastAsia="Times New Roman" w:cs="Times New Roman"/>
          <w:sz w:val="24"/>
          <w:szCs w:val="24"/>
          <w:lang w:eastAsia="bg-BG"/>
        </w:rPr>
      </w:pP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5"/>
        <w:gridCol w:w="4407"/>
      </w:tblGrid>
      <w:tr w:rsidR="00204A90" w:rsidRPr="00390241" w:rsidTr="004C69D2">
        <w:trPr>
          <w:trHeight w:val="28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</w:rPr>
              <w:t>Силни страни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</w:rPr>
              <w:t>Слаби страни</w:t>
            </w:r>
          </w:p>
        </w:tc>
      </w:tr>
      <w:tr w:rsidR="00204A90" w:rsidRPr="00390241" w:rsidTr="004C69D2">
        <w:trPr>
          <w:trHeight w:val="89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Наличие на високо квалифицирани учители.</w:t>
            </w:r>
          </w:p>
          <w:p w:rsidR="006C055E" w:rsidRPr="00390241" w:rsidRDefault="006C055E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Много добър психоклимат в колектива.Спокойна и творческа атмосфера.</w:t>
            </w:r>
          </w:p>
          <w:p w:rsidR="005F39F9" w:rsidRPr="00390241" w:rsidRDefault="005F39F9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Разработена методика за оценяване труда на учителите.</w:t>
            </w:r>
          </w:p>
          <w:p w:rsidR="005F39F9" w:rsidRPr="00390241" w:rsidRDefault="005F39F9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Работа за издигане авторитета и утвърждаване престижа на ДГ</w:t>
            </w:r>
          </w:p>
          <w:p w:rsidR="006C055E" w:rsidRPr="00390241" w:rsidRDefault="006C055E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Осигурени безопасни и здравословни условия на труд на територията на ДГ.</w:t>
            </w:r>
          </w:p>
          <w:p w:rsidR="00204A90" w:rsidRPr="00390241" w:rsidRDefault="00204A90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Наличие на методическа помощ и подкрепа от страна на РУО.</w:t>
            </w:r>
          </w:p>
          <w:p w:rsidR="00204A90" w:rsidRPr="00390241" w:rsidRDefault="00204A90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Желание у учителите за участие в квалификационни дейности.</w:t>
            </w:r>
          </w:p>
          <w:p w:rsidR="006C055E" w:rsidRPr="00390241" w:rsidRDefault="006C055E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Осигурена здравна профилактика и мониторинг на работната среда от лицензирана фирма.</w:t>
            </w:r>
          </w:p>
          <w:p w:rsidR="006C055E" w:rsidRPr="00CC1E82" w:rsidRDefault="00204A90" w:rsidP="006C055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Система за повишавана на педагогическите компетентности на непедагогическия персонал.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5F39F9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Слаба работа с училищните тройки</w:t>
            </w:r>
            <w:r w:rsidR="006C055E"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и училищното настоятелство.</w:t>
            </w:r>
          </w:p>
          <w:p w:rsidR="006C055E" w:rsidRPr="00390241" w:rsidRDefault="006C055E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Слабо популяризиране дейността на ДГ сред обществеността.</w:t>
            </w:r>
          </w:p>
          <w:p w:rsidR="006C055E" w:rsidRPr="00390241" w:rsidRDefault="006C055E" w:rsidP="00204A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Ниско заплащане на ПОП</w:t>
            </w:r>
          </w:p>
        </w:tc>
      </w:tr>
      <w:tr w:rsidR="00204A90" w:rsidRPr="00390241" w:rsidTr="004C69D2">
        <w:trPr>
          <w:trHeight w:val="252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Затруднения: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204A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Недостатъчни средства за квалификация.</w:t>
            </w:r>
          </w:p>
          <w:p w:rsidR="006C055E" w:rsidRPr="00390241" w:rsidRDefault="00204A90" w:rsidP="006C05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Недобре балансирана система за участие във външни квалификационни дейности.</w:t>
            </w:r>
          </w:p>
          <w:p w:rsidR="00CB0979" w:rsidRPr="00390241" w:rsidRDefault="00CB0979" w:rsidP="00CB0979">
            <w:pPr>
              <w:autoSpaceDE w:val="0"/>
              <w:autoSpaceDN w:val="0"/>
              <w:adjustRightInd w:val="0"/>
              <w:spacing w:after="0" w:line="288" w:lineRule="auto"/>
              <w:ind w:left="72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04A90" w:rsidRPr="00390241" w:rsidTr="004C69D2">
        <w:trPr>
          <w:trHeight w:val="278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Възможности и перспективи:</w:t>
            </w:r>
          </w:p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204A90" w:rsidRPr="00390241" w:rsidRDefault="00204A90" w:rsidP="006C05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Правила за участие в квалификационни дейности.</w:t>
            </w:r>
          </w:p>
          <w:p w:rsidR="00204A90" w:rsidRPr="00390241" w:rsidRDefault="00204A90" w:rsidP="006C05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Обратна връзка след всяка реализирана квалификация.</w:t>
            </w:r>
          </w:p>
          <w:p w:rsidR="00204A90" w:rsidRPr="00390241" w:rsidRDefault="00204A90" w:rsidP="006C05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Контрол и оценка на резултатите от реализираните</w:t>
            </w:r>
            <w:r w:rsidRPr="00390241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квалификаци</w:t>
            </w:r>
            <w:r w:rsidR="00252DC4" w:rsidRPr="00390241"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нни форми.</w:t>
            </w:r>
          </w:p>
          <w:p w:rsidR="006C055E" w:rsidRPr="00390241" w:rsidRDefault="006C055E" w:rsidP="006C05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Мотивиране на учителите да развиват компютърни умения и да ги използват за прилагане на интерактивни методи и технологии за преподаване.</w:t>
            </w:r>
          </w:p>
          <w:p w:rsidR="006C055E" w:rsidRPr="00390241" w:rsidRDefault="006C055E" w:rsidP="006C05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Повишаване общата квалификация на персонала чрез организиране на курсове, тренинги, обучения, самообучения.</w:t>
            </w:r>
          </w:p>
        </w:tc>
      </w:tr>
    </w:tbl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1.4. Организация на човешките ресурси</w:t>
      </w:r>
      <w:r w:rsidRPr="00390241">
        <w:rPr>
          <w:rFonts w:eastAsia="Times New Roman" w:cs="Times New Roman"/>
          <w:bCs/>
          <w:sz w:val="24"/>
          <w:szCs w:val="20"/>
        </w:rPr>
        <w:t>:</w:t>
      </w:r>
    </w:p>
    <w:p w:rsidR="000B5709" w:rsidRPr="00390241" w:rsidRDefault="000B570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Общо персонала на ДГ „Детска планета“</w:t>
      </w:r>
      <w:r w:rsidR="00564EE7">
        <w:rPr>
          <w:rFonts w:eastAsia="Times New Roman" w:cs="Times New Roman"/>
          <w:bCs/>
          <w:sz w:val="24"/>
          <w:szCs w:val="20"/>
        </w:rPr>
        <w:t xml:space="preserve"> е 12</w:t>
      </w:r>
      <w:r w:rsidR="00252DC4" w:rsidRPr="00390241">
        <w:rPr>
          <w:rFonts w:eastAsia="Times New Roman" w:cs="Times New Roman"/>
          <w:bCs/>
          <w:sz w:val="24"/>
          <w:szCs w:val="20"/>
        </w:rPr>
        <w:t>,5 щатни брой</w:t>
      </w:r>
      <w:r w:rsidR="00564EE7">
        <w:rPr>
          <w:rFonts w:eastAsia="Times New Roman" w:cs="Times New Roman"/>
          <w:bCs/>
          <w:sz w:val="24"/>
          <w:szCs w:val="20"/>
        </w:rPr>
        <w:t>ки, от които 5 педагогически и 7</w:t>
      </w:r>
      <w:r w:rsidR="00252DC4" w:rsidRPr="00390241">
        <w:rPr>
          <w:rFonts w:eastAsia="Times New Roman" w:cs="Times New Roman"/>
          <w:bCs/>
          <w:sz w:val="24"/>
          <w:szCs w:val="20"/>
        </w:rPr>
        <w:t>,5 административен и помощно-обслужващ персонал.</w:t>
      </w:r>
    </w:p>
    <w:p w:rsidR="00252DC4" w:rsidRPr="00390241" w:rsidRDefault="00252DC4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Педагогическият екип се състои от 1 </w:t>
      </w:r>
      <w:r w:rsidR="00564EE7">
        <w:rPr>
          <w:rFonts w:eastAsia="Times New Roman" w:cs="Times New Roman"/>
          <w:bCs/>
          <w:sz w:val="24"/>
          <w:szCs w:val="20"/>
        </w:rPr>
        <w:t>директор, 2 старши учител и 2 учители. От тях 3</w:t>
      </w:r>
      <w:r w:rsidRPr="00390241">
        <w:rPr>
          <w:rFonts w:eastAsia="Times New Roman" w:cs="Times New Roman"/>
          <w:bCs/>
          <w:sz w:val="24"/>
          <w:szCs w:val="20"/>
        </w:rPr>
        <w:t xml:space="preserve"> броя педагози са с V ПКС.</w:t>
      </w:r>
    </w:p>
    <w:p w:rsidR="00DD74C8" w:rsidRPr="00390241" w:rsidRDefault="00252DC4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Непедагогич</w:t>
      </w:r>
      <w:r w:rsidR="00DD74C8" w:rsidRPr="00390241">
        <w:rPr>
          <w:rFonts w:eastAsia="Times New Roman" w:cs="Times New Roman"/>
          <w:bCs/>
          <w:sz w:val="24"/>
          <w:szCs w:val="20"/>
        </w:rPr>
        <w:t>е</w:t>
      </w:r>
      <w:r w:rsidRPr="00390241">
        <w:rPr>
          <w:rFonts w:eastAsia="Times New Roman" w:cs="Times New Roman"/>
          <w:bCs/>
          <w:sz w:val="24"/>
          <w:szCs w:val="20"/>
        </w:rPr>
        <w:t>ски персонал</w:t>
      </w:r>
      <w:r w:rsidR="00DD74C8" w:rsidRPr="00390241">
        <w:rPr>
          <w:rFonts w:eastAsia="Times New Roman" w:cs="Times New Roman"/>
          <w:bCs/>
          <w:sz w:val="24"/>
          <w:szCs w:val="20"/>
        </w:rPr>
        <w:t xml:space="preserve">: 0,5 счетоводител, 1 касиер-домакин, 3 помощник-възпитатели, 1 готвач, </w:t>
      </w:r>
      <w:r w:rsidR="00564EE7">
        <w:rPr>
          <w:rFonts w:eastAsia="Times New Roman" w:cs="Times New Roman"/>
          <w:bCs/>
          <w:sz w:val="24"/>
          <w:szCs w:val="20"/>
        </w:rPr>
        <w:t xml:space="preserve">0,5 помощник готвач, 0,5 перач и </w:t>
      </w:r>
      <w:r w:rsidR="00DD74C8" w:rsidRPr="00390241">
        <w:rPr>
          <w:rFonts w:eastAsia="Times New Roman" w:cs="Times New Roman"/>
          <w:bCs/>
          <w:sz w:val="24"/>
          <w:szCs w:val="20"/>
        </w:rPr>
        <w:t>1 работник поддръжка.</w:t>
      </w:r>
    </w:p>
    <w:p w:rsidR="00DD74C8" w:rsidRPr="00390241" w:rsidRDefault="00564EE7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</w:rPr>
        <w:t>Възрастов състав към 2017</w:t>
      </w:r>
      <w:r w:rsidR="00DD74C8" w:rsidRPr="00390241">
        <w:rPr>
          <w:rFonts w:eastAsia="Times New Roman" w:cs="Times New Roman"/>
          <w:bCs/>
          <w:sz w:val="24"/>
          <w:szCs w:val="20"/>
        </w:rPr>
        <w:t xml:space="preserve"> г.</w:t>
      </w: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</w:p>
    <w:p w:rsidR="00DD74C8" w:rsidRPr="00390241" w:rsidRDefault="00DD74C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/>
          <w:bCs/>
          <w:sz w:val="24"/>
          <w:szCs w:val="20"/>
        </w:rPr>
        <w:t>Учители</w:t>
      </w:r>
      <w:r w:rsidRPr="00390241">
        <w:rPr>
          <w:rFonts w:eastAsia="Times New Roman" w:cs="Times New Roman"/>
          <w:b/>
          <w:bCs/>
          <w:sz w:val="24"/>
          <w:szCs w:val="20"/>
        </w:rPr>
        <w:tab/>
      </w:r>
      <w:r w:rsidRPr="00390241">
        <w:rPr>
          <w:rFonts w:eastAsia="Times New Roman" w:cs="Times New Roman"/>
          <w:b/>
          <w:bCs/>
          <w:sz w:val="24"/>
          <w:szCs w:val="20"/>
        </w:rPr>
        <w:tab/>
        <w:t>ПОП</w:t>
      </w: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</w:p>
    <w:p w:rsidR="00DD74C8" w:rsidRPr="00390241" w:rsidRDefault="00DD74C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30-35 г.</w:t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   1</w:t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0</w:t>
      </w:r>
    </w:p>
    <w:p w:rsidR="00DD74C8" w:rsidRPr="00390241" w:rsidRDefault="0098382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36-40 г.</w:t>
      </w:r>
      <w:r>
        <w:rPr>
          <w:rFonts w:eastAsia="Times New Roman" w:cs="Times New Roman"/>
          <w:bCs/>
          <w:sz w:val="24"/>
          <w:szCs w:val="20"/>
        </w:rPr>
        <w:tab/>
        <w:t xml:space="preserve">       2</w:t>
      </w:r>
      <w:r>
        <w:rPr>
          <w:rFonts w:eastAsia="Times New Roman" w:cs="Times New Roman"/>
          <w:bCs/>
          <w:sz w:val="24"/>
          <w:szCs w:val="20"/>
        </w:rPr>
        <w:tab/>
      </w:r>
      <w:r>
        <w:rPr>
          <w:rFonts w:eastAsia="Times New Roman" w:cs="Times New Roman"/>
          <w:bCs/>
          <w:sz w:val="24"/>
          <w:szCs w:val="20"/>
        </w:rPr>
        <w:tab/>
      </w:r>
      <w:r>
        <w:rPr>
          <w:rFonts w:eastAsia="Times New Roman" w:cs="Times New Roman"/>
          <w:bCs/>
          <w:sz w:val="24"/>
          <w:szCs w:val="20"/>
        </w:rPr>
        <w:tab/>
        <w:t xml:space="preserve">    3</w:t>
      </w:r>
    </w:p>
    <w:p w:rsidR="00DD74C8" w:rsidRPr="00390241" w:rsidRDefault="00DD74C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41-45 г.</w:t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   0 </w:t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0</w:t>
      </w:r>
    </w:p>
    <w:p w:rsidR="00DD74C8" w:rsidRPr="00390241" w:rsidRDefault="00DD74C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46-50 г.</w:t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   1</w:t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1</w:t>
      </w:r>
    </w:p>
    <w:p w:rsidR="00821A78" w:rsidRPr="00390241" w:rsidRDefault="00DD74C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51-55 г.</w:t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   </w:t>
      </w:r>
      <w:r w:rsidR="00821A78" w:rsidRPr="00390241">
        <w:rPr>
          <w:rFonts w:eastAsia="Times New Roman" w:cs="Times New Roman"/>
          <w:bCs/>
          <w:sz w:val="24"/>
          <w:szCs w:val="20"/>
        </w:rPr>
        <w:t>1</w:t>
      </w:r>
      <w:r w:rsidR="00821A78" w:rsidRPr="00390241">
        <w:rPr>
          <w:rFonts w:eastAsia="Times New Roman" w:cs="Times New Roman"/>
          <w:bCs/>
          <w:sz w:val="24"/>
          <w:szCs w:val="20"/>
        </w:rPr>
        <w:tab/>
      </w:r>
      <w:r w:rsidR="00821A78" w:rsidRPr="00390241">
        <w:rPr>
          <w:rFonts w:eastAsia="Times New Roman" w:cs="Times New Roman"/>
          <w:bCs/>
          <w:sz w:val="24"/>
          <w:szCs w:val="20"/>
        </w:rPr>
        <w:tab/>
      </w:r>
      <w:r w:rsidR="00821A78" w:rsidRPr="00390241">
        <w:rPr>
          <w:rFonts w:eastAsia="Times New Roman" w:cs="Times New Roman"/>
          <w:bCs/>
          <w:sz w:val="24"/>
          <w:szCs w:val="20"/>
        </w:rPr>
        <w:tab/>
        <w:t xml:space="preserve">    0</w:t>
      </w:r>
    </w:p>
    <w:p w:rsidR="00821A78" w:rsidRPr="00390241" w:rsidRDefault="00821A7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56-60 г.</w:t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   0</w:t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2</w:t>
      </w:r>
    </w:p>
    <w:p w:rsidR="00821A78" w:rsidRPr="00390241" w:rsidRDefault="00821A7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  <w:r w:rsidRPr="00390241">
        <w:rPr>
          <w:rFonts w:eastAsia="Times New Roman" w:cs="Times New Roman"/>
          <w:bCs/>
          <w:sz w:val="24"/>
          <w:szCs w:val="20"/>
        </w:rPr>
        <w:t>Над 60 г.</w:t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   0</w:t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</w:r>
      <w:r w:rsidRPr="00390241">
        <w:rPr>
          <w:rFonts w:eastAsia="Times New Roman" w:cs="Times New Roman"/>
          <w:bCs/>
          <w:sz w:val="24"/>
          <w:szCs w:val="20"/>
        </w:rPr>
        <w:tab/>
        <w:t xml:space="preserve">    2</w:t>
      </w: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</w:p>
    <w:p w:rsidR="00252DC4" w:rsidRPr="00390241" w:rsidRDefault="00821A78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Обгрижването и възпитанието на децата от яслена група се извършва от една медицинска сестра. Медицинското обслужване на детската градина се осъществява от училищна сестра. Медицинските сестри са в трудовоправни отношения с директора на Детска ясла № 1 гр. Кнежа, но са на пряко подчинение на директора на детската градина.</w:t>
      </w:r>
      <w:r w:rsidR="00DD74C8" w:rsidRPr="00390241">
        <w:rPr>
          <w:rFonts w:eastAsia="Times New Roman" w:cs="Times New Roman"/>
          <w:bCs/>
          <w:sz w:val="24"/>
          <w:szCs w:val="20"/>
        </w:rPr>
        <w:t xml:space="preserve"> 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2"/>
        <w:gridCol w:w="4460"/>
      </w:tblGrid>
      <w:tr w:rsidR="00204A90" w:rsidRPr="00390241" w:rsidTr="004C69D2">
        <w:trPr>
          <w:trHeight w:val="28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Силни страни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Слаби страни</w:t>
            </w:r>
          </w:p>
        </w:tc>
      </w:tr>
      <w:tr w:rsidR="00204A90" w:rsidRPr="00390241" w:rsidTr="004C69D2">
        <w:trPr>
          <w:trHeight w:val="89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7C32" w:rsidRPr="00390241" w:rsidRDefault="00F47C32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•  В детската градина са формирани комисии за подпомагане дейността на ДГ.</w:t>
            </w:r>
          </w:p>
          <w:p w:rsidR="00EB0584" w:rsidRPr="00390241" w:rsidRDefault="00F47C32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•  </w:t>
            </w:r>
            <w:r w:rsidR="00EB0584" w:rsidRPr="00390241">
              <w:rPr>
                <w:rFonts w:eastAsia="Calibri" w:cs="Times New Roman"/>
                <w:color w:val="000000"/>
                <w:sz w:val="24"/>
                <w:szCs w:val="24"/>
              </w:rPr>
              <w:t>Осигурени здравна профилактика и мониторинг на работното място.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EB0584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•  Липса на възможност за допълнително материално стимулиране.</w:t>
            </w:r>
          </w:p>
          <w:p w:rsidR="00EB0584" w:rsidRPr="00390241" w:rsidRDefault="00EB0584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04A90" w:rsidRPr="00390241" w:rsidTr="004C69D2">
        <w:trPr>
          <w:trHeight w:val="252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Затруднения:</w:t>
            </w:r>
          </w:p>
          <w:p w:rsidR="00204A90" w:rsidRPr="00390241" w:rsidRDefault="00EB0584" w:rsidP="00EB058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• По-голяма част от непедагогическия персонал е в пред</w:t>
            </w:r>
            <w:r w:rsidR="00CC1E82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пенсионна възраст.</w:t>
            </w:r>
          </w:p>
          <w:p w:rsidR="00CB0979" w:rsidRPr="00390241" w:rsidRDefault="00CB0979" w:rsidP="00EB058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4A90" w:rsidRPr="00390241" w:rsidTr="004C69D2">
        <w:trPr>
          <w:trHeight w:val="278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Възможности и перспективи:</w:t>
            </w:r>
          </w:p>
          <w:p w:rsidR="00204A90" w:rsidRPr="00390241" w:rsidRDefault="00204A90" w:rsidP="00204A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Механизми за поощряване и награждаване на педагогическите специалисти.</w:t>
            </w:r>
          </w:p>
          <w:p w:rsidR="00204A90" w:rsidRPr="00390241" w:rsidRDefault="00204A90" w:rsidP="00204A9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Атестиране на педагогическите специалисти.</w:t>
            </w:r>
          </w:p>
        </w:tc>
      </w:tr>
    </w:tbl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1.5. Оргнизация на физическа среда и материално-дидактичната база</w:t>
      </w:r>
      <w:r w:rsidRPr="00390241">
        <w:rPr>
          <w:rFonts w:eastAsia="Times New Roman" w:cs="Times New Roman"/>
          <w:bCs/>
          <w:sz w:val="24"/>
          <w:szCs w:val="20"/>
        </w:rPr>
        <w:t>:</w:t>
      </w:r>
    </w:p>
    <w:p w:rsidR="00EB0584" w:rsidRPr="00390241" w:rsidRDefault="00EB0584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Достатъчен сграден фонд, специално проектиран и построен за детска градина: спални, занимални, кабинет на директора и ЗАС, стая за почивка, здравен кабинет, методичен кабинет, дворни площадки, съоръжения. </w:t>
      </w:r>
    </w:p>
    <w:p w:rsidR="00EB0584" w:rsidRPr="00390241" w:rsidRDefault="00EB0584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Достатъчни учебно технически средства подпомагащи </w:t>
      </w:r>
      <w:r w:rsidR="00330210" w:rsidRPr="00390241">
        <w:rPr>
          <w:rFonts w:eastAsia="Times New Roman" w:cs="Times New Roman"/>
          <w:bCs/>
          <w:sz w:val="24"/>
          <w:szCs w:val="20"/>
        </w:rPr>
        <w:t xml:space="preserve">педагогическия процес – компютри, телевизор, </w:t>
      </w:r>
      <w:r w:rsidR="00330210" w:rsidRPr="00390241">
        <w:rPr>
          <w:rFonts w:eastAsia="Times New Roman" w:cs="Times New Roman"/>
          <w:bCs/>
          <w:sz w:val="24"/>
          <w:szCs w:val="20"/>
          <w:lang w:val="en-US"/>
        </w:rPr>
        <w:t>DVD</w:t>
      </w:r>
      <w:r w:rsidR="00330210" w:rsidRPr="00390241">
        <w:rPr>
          <w:rFonts w:eastAsia="Times New Roman" w:cs="Times New Roman"/>
          <w:bCs/>
          <w:sz w:val="24"/>
          <w:szCs w:val="20"/>
        </w:rPr>
        <w:t>, принтери.</w:t>
      </w:r>
    </w:p>
    <w:p w:rsidR="00330210" w:rsidRPr="00390241" w:rsidRDefault="0033021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Достатъчен библиотечен фонд – периодичен печат, научна литература, утвърдени помагала и др.</w:t>
      </w:r>
    </w:p>
    <w:p w:rsidR="00330210" w:rsidRPr="00390241" w:rsidRDefault="0033021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Сравнително добре оборудван двор за дейности на открито.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3"/>
        <w:gridCol w:w="4469"/>
      </w:tblGrid>
      <w:tr w:rsidR="00204A90" w:rsidRPr="00390241" w:rsidTr="004C69D2">
        <w:trPr>
          <w:trHeight w:val="28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Силни страни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Слаби страни</w:t>
            </w:r>
          </w:p>
        </w:tc>
      </w:tr>
      <w:tr w:rsidR="00204A90" w:rsidRPr="00390241" w:rsidTr="004C69D2">
        <w:trPr>
          <w:trHeight w:val="89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 •  Обособени помещения за всяка група.</w:t>
            </w:r>
          </w:p>
          <w:p w:rsidR="0033021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 •  Игрови площадки на двора за всяка група със необходимите съоръжения и уреди.</w:t>
            </w:r>
          </w:p>
          <w:p w:rsidR="0033021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 •  Наличие на технически средства необходими за педагогическия процес.</w:t>
            </w:r>
          </w:p>
          <w:p w:rsidR="0033021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 •  Собствена отоплителна система – локално парно на газ.</w:t>
            </w:r>
          </w:p>
          <w:p w:rsidR="0033021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•   Наличие на собствен сайт.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•  Остарял сграден фонд.</w:t>
            </w:r>
          </w:p>
          <w:p w:rsidR="0033021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•  Липса на помещения за провеждане на допълнителни дейности – ателиета и школи по интереси.</w:t>
            </w:r>
          </w:p>
          <w:p w:rsidR="0033021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•  Морално остарели уреди на двора.</w:t>
            </w:r>
          </w:p>
          <w:p w:rsidR="0033021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•  Липса на механизъм за включване в национални и европейски фондове и програми за благоустройство на сградата и двора на детската градина.</w:t>
            </w:r>
          </w:p>
        </w:tc>
      </w:tr>
      <w:tr w:rsidR="00204A90" w:rsidRPr="00390241" w:rsidTr="004C69D2">
        <w:trPr>
          <w:trHeight w:val="252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Затруднения:</w:t>
            </w:r>
          </w:p>
          <w:p w:rsidR="00204A90" w:rsidRPr="00390241" w:rsidRDefault="00330210" w:rsidP="00204A90">
            <w:pPr>
              <w:autoSpaceDE w:val="0"/>
              <w:autoSpaceDN w:val="0"/>
              <w:adjustRightInd w:val="0"/>
              <w:spacing w:after="0" w:line="288" w:lineRule="auto"/>
              <w:ind w:left="72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•  Търсене на възможност за включване на нови спонсори в различните дейности</w:t>
            </w:r>
            <w:r w:rsidR="00677B46" w:rsidRPr="00390241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4A90" w:rsidRPr="00390241" w:rsidTr="004C69D2">
        <w:trPr>
          <w:trHeight w:val="278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Възможности и перспективи:</w:t>
            </w:r>
          </w:p>
          <w:p w:rsidR="00204A90" w:rsidRPr="00390241" w:rsidRDefault="00677B46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</w:t>
            </w:r>
            <w:r w:rsidR="00525E26" w:rsidRPr="00390241">
              <w:rPr>
                <w:rFonts w:eastAsia="Calibri" w:cs="Times New Roman"/>
                <w:color w:val="000000"/>
                <w:sz w:val="24"/>
                <w:szCs w:val="24"/>
              </w:rPr>
              <w:t>•  Мотивиране на родителите на децата за собствен труд и принос към обновяване на МТБ.</w:t>
            </w:r>
          </w:p>
        </w:tc>
      </w:tr>
    </w:tbl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5E24C2" w:rsidRPr="00390241" w:rsidRDefault="00A3797D" w:rsidP="005E24C2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1.6. Финасиране</w:t>
      </w:r>
      <w:r w:rsidR="00D00CCB" w:rsidRPr="00390241">
        <w:rPr>
          <w:rFonts w:eastAsia="Times New Roman" w:cs="Times New Roman"/>
          <w:b/>
          <w:bCs/>
          <w:sz w:val="24"/>
          <w:szCs w:val="20"/>
        </w:rPr>
        <w:t xml:space="preserve">. </w:t>
      </w:r>
    </w:p>
    <w:p w:rsidR="00CB0979" w:rsidRDefault="00D00CCB" w:rsidP="00CC1E82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Финансирането на детската градина е смесено – от държавата и от общината. Заплатите на персонала, издръжката на здравния кабинет и подготвителната група се осигуряват от фонд „Държавни дейности”. Издръжката на останалите възрастови групи се осигурява от бюджета на Община Кнежа. От 2008 г. </w:t>
      </w:r>
      <w:r w:rsidR="004272BC" w:rsidRPr="00390241">
        <w:rPr>
          <w:rFonts w:eastAsia="Times New Roman" w:cs="Times New Roman"/>
          <w:bCs/>
          <w:sz w:val="24"/>
          <w:szCs w:val="20"/>
        </w:rPr>
        <w:t>п</w:t>
      </w:r>
      <w:r w:rsidRPr="00390241">
        <w:rPr>
          <w:rFonts w:eastAsia="Times New Roman" w:cs="Times New Roman"/>
          <w:bCs/>
          <w:sz w:val="24"/>
          <w:szCs w:val="20"/>
        </w:rPr>
        <w:t>рилагаме системата на делегираните бюджети в сферата на образованието.</w:t>
      </w:r>
    </w:p>
    <w:p w:rsidR="00CC1E82" w:rsidRPr="00CC1E82" w:rsidRDefault="00CC1E82" w:rsidP="00CC1E82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A3797D" w:rsidRPr="00390241" w:rsidRDefault="00A3797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A3797D" w:rsidRPr="00390241" w:rsidTr="004C69D2">
        <w:trPr>
          <w:trHeight w:val="28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97D" w:rsidRPr="00390241" w:rsidRDefault="00A3797D" w:rsidP="004C69D2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</w:rPr>
              <w:lastRenderedPageBreak/>
              <w:t>Силни страни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97D" w:rsidRPr="00390241" w:rsidRDefault="00A3797D" w:rsidP="004C69D2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</w:rPr>
              <w:t>Слаби страни</w:t>
            </w:r>
          </w:p>
        </w:tc>
      </w:tr>
      <w:tr w:rsidR="00A3797D" w:rsidRPr="00390241" w:rsidTr="004C69D2">
        <w:trPr>
          <w:trHeight w:val="894"/>
          <w:jc w:val="center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97D" w:rsidRPr="00390241" w:rsidRDefault="00A3797D" w:rsidP="004C69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Наличие на високо квалифицирани учители.</w:t>
            </w:r>
          </w:p>
          <w:p w:rsidR="00D14321" w:rsidRPr="00390241" w:rsidRDefault="00D14321" w:rsidP="004C69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Успешно прилагане системата на дедегирания бюджет.</w:t>
            </w:r>
          </w:p>
          <w:p w:rsidR="00D14321" w:rsidRPr="00390241" w:rsidRDefault="00D14321" w:rsidP="004C69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Функционираща система за финансово управление и контрол.</w:t>
            </w:r>
          </w:p>
          <w:p w:rsidR="005E24C2" w:rsidRPr="00390241" w:rsidRDefault="00D14321" w:rsidP="004C69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Функционираща комисия по приемане, отчет и контрол на постъпилите дарения.  </w:t>
            </w:r>
          </w:p>
          <w:p w:rsidR="00A3797D" w:rsidRPr="00390241" w:rsidRDefault="00A3797D" w:rsidP="00A379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14321" w:rsidRPr="00390241" w:rsidRDefault="00D14321" w:rsidP="00D1432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Липса на средства за основни ремонти в сградата и двора на детската градина.</w:t>
            </w:r>
          </w:p>
          <w:p w:rsidR="00A3797D" w:rsidRPr="00390241" w:rsidRDefault="00D14321" w:rsidP="004C69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Липса на средства за заместници при отсъствие на титуляр.</w:t>
            </w:r>
          </w:p>
          <w:p w:rsidR="00D14321" w:rsidRPr="00390241" w:rsidRDefault="00D14321" w:rsidP="004C69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Бюджета не предвижда средства за подобряване и осъвременяване на материалната и дидактичната база.</w:t>
            </w:r>
          </w:p>
        </w:tc>
      </w:tr>
      <w:tr w:rsidR="00A3797D" w:rsidRPr="00390241" w:rsidTr="004C69D2">
        <w:trPr>
          <w:trHeight w:val="252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97D" w:rsidRPr="00390241" w:rsidRDefault="00A3797D" w:rsidP="004C69D2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Затруднения:</w:t>
            </w:r>
          </w:p>
          <w:p w:rsidR="00A3797D" w:rsidRPr="00390241" w:rsidRDefault="00A3797D" w:rsidP="004C69D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</w:p>
          <w:p w:rsidR="00A3797D" w:rsidRPr="00390241" w:rsidRDefault="00A3797D" w:rsidP="004C69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Недостатъчни средства за квалификация.</w:t>
            </w:r>
          </w:p>
          <w:p w:rsidR="00A3797D" w:rsidRPr="00390241" w:rsidRDefault="00A3797D" w:rsidP="004C69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Не</w:t>
            </w:r>
            <w:r w:rsidR="00062437"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добре балансирана система за участие във външни квалификационни дейности.</w:t>
            </w:r>
          </w:p>
          <w:p w:rsidR="00CF4905" w:rsidRPr="00390241" w:rsidRDefault="00003FEC" w:rsidP="00003FEC">
            <w:pPr>
              <w:autoSpaceDE w:val="0"/>
              <w:autoSpaceDN w:val="0"/>
              <w:adjustRightInd w:val="0"/>
              <w:spacing w:after="0" w:line="288" w:lineRule="auto"/>
              <w:ind w:left="72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97D" w:rsidRPr="00390241" w:rsidTr="004C69D2">
        <w:trPr>
          <w:trHeight w:val="278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797D" w:rsidRPr="00390241" w:rsidRDefault="00A3797D" w:rsidP="004C69D2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Възможности и перспективи:</w:t>
            </w:r>
          </w:p>
          <w:p w:rsidR="00003FEC" w:rsidRPr="00390241" w:rsidRDefault="00003FEC" w:rsidP="00003F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Възможности за алтернативно финансиране чрез работа по проекти.</w:t>
            </w:r>
          </w:p>
          <w:p w:rsidR="00003FEC" w:rsidRPr="00390241" w:rsidRDefault="00003FEC" w:rsidP="00003F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Мотивиране и стимулиране  на родителите къв спомоществователство.</w:t>
            </w:r>
          </w:p>
          <w:p w:rsidR="00A3797D" w:rsidRPr="00390241" w:rsidRDefault="00003FEC" w:rsidP="00003FE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Реализиране на благотворителни изложби, спектакли, концерти и др.</w:t>
            </w:r>
          </w:p>
          <w:p w:rsidR="00A3797D" w:rsidRPr="00390241" w:rsidRDefault="00A3797D" w:rsidP="004C69D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Правила за участие в квалификационни дейности.</w:t>
            </w:r>
          </w:p>
          <w:p w:rsidR="00A3797D" w:rsidRPr="00390241" w:rsidRDefault="00A3797D" w:rsidP="004C69D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Обратна връзка след всяка реализирана квалификация.</w:t>
            </w:r>
          </w:p>
          <w:p w:rsidR="00A3797D" w:rsidRPr="00390241" w:rsidRDefault="00A3797D" w:rsidP="004C69D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Контрол и оценка на резултатите от реализираните</w:t>
            </w:r>
            <w:r w:rsidRPr="00390241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квалификационни форми.</w:t>
            </w:r>
          </w:p>
          <w:p w:rsidR="00A3797D" w:rsidRPr="00390241" w:rsidRDefault="00A3797D" w:rsidP="004C69D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Мотивиране на учителите да развиват компютърни умения и да ги използват за прилагане на интерактивни методи и технологии за преподаване.</w:t>
            </w:r>
          </w:p>
          <w:p w:rsidR="00A3797D" w:rsidRPr="00390241" w:rsidRDefault="00A3797D" w:rsidP="004C69D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>Повишаване общата квалификация на персонала чрез организиране на курсове, тренинги, обучения, самообучения.</w:t>
            </w:r>
          </w:p>
        </w:tc>
      </w:tr>
      <w:tr w:rsidR="00003FEC" w:rsidRPr="00390241" w:rsidTr="004C69D2">
        <w:trPr>
          <w:trHeight w:val="278"/>
          <w:jc w:val="center"/>
        </w:trPr>
        <w:tc>
          <w:tcPr>
            <w:tcW w:w="1069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3FEC" w:rsidRPr="00390241" w:rsidRDefault="00003FEC" w:rsidP="004C69D2">
            <w:pPr>
              <w:autoSpaceDE w:val="0"/>
              <w:autoSpaceDN w:val="0"/>
              <w:adjustRightInd w:val="0"/>
              <w:spacing w:after="0" w:line="252" w:lineRule="atLeast"/>
              <w:jc w:val="both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797D" w:rsidRPr="00390241" w:rsidRDefault="00A3797D" w:rsidP="00A3797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A3797D" w:rsidRPr="00390241" w:rsidRDefault="00A3797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</w:p>
    <w:p w:rsidR="00204A90" w:rsidRPr="00390241" w:rsidRDefault="00204A90" w:rsidP="00204A90">
      <w:pPr>
        <w:numPr>
          <w:ilvl w:val="0"/>
          <w:numId w:val="6"/>
        </w:numPr>
        <w:autoSpaceDE w:val="0"/>
        <w:autoSpaceDN w:val="0"/>
        <w:adjustRightInd w:val="0"/>
        <w:spacing w:after="0" w:line="252" w:lineRule="atLeast"/>
        <w:jc w:val="both"/>
        <w:textAlignment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390241">
        <w:rPr>
          <w:rFonts w:eastAsia="Calibri" w:cs="Times New Roman"/>
          <w:b/>
          <w:bCs/>
          <w:color w:val="000000"/>
          <w:sz w:val="24"/>
          <w:szCs w:val="24"/>
        </w:rPr>
        <w:t>Идентификация на затрудненията: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288" w:lineRule="auto"/>
        <w:textAlignment w:val="center"/>
        <w:rPr>
          <w:rFonts w:eastAsia="Calibri" w:cs="Times"/>
          <w:color w:val="000000"/>
          <w:sz w:val="24"/>
          <w:szCs w:val="24"/>
        </w:rPr>
      </w:pP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9"/>
        <w:gridCol w:w="4453"/>
      </w:tblGrid>
      <w:tr w:rsidR="00204A90" w:rsidRPr="00390241" w:rsidTr="004C69D2">
        <w:trPr>
          <w:trHeight w:val="284"/>
          <w:jc w:val="center"/>
        </w:trPr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Външни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204A90" w:rsidP="00204A90">
            <w:pPr>
              <w:autoSpaceDE w:val="0"/>
              <w:autoSpaceDN w:val="0"/>
              <w:adjustRightInd w:val="0"/>
              <w:spacing w:after="0" w:line="252" w:lineRule="atLeast"/>
              <w:ind w:firstLine="283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Вътрешни</w:t>
            </w:r>
          </w:p>
        </w:tc>
      </w:tr>
      <w:tr w:rsidR="00204A90" w:rsidRPr="00390241" w:rsidTr="004C69D2">
        <w:trPr>
          <w:trHeight w:val="894"/>
          <w:jc w:val="center"/>
        </w:trPr>
        <w:tc>
          <w:tcPr>
            <w:tcW w:w="4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A3797D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•  Липсва национален инструментариум за диагностика.</w:t>
            </w:r>
          </w:p>
          <w:p w:rsidR="00A3797D" w:rsidRPr="00390241" w:rsidRDefault="00A3797D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•  Недостатъчна финансова осигуреност на цялостния процес в детската градина – 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закаляване, квалификация, съвременна образователна и здравословна среда.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04A90" w:rsidRPr="00390241" w:rsidRDefault="00A3797D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   •  Увеличаващи се прояви на агресивни нагласи в предучилищна възраст.</w:t>
            </w:r>
          </w:p>
          <w:p w:rsidR="00A3797D" w:rsidRPr="00390241" w:rsidRDefault="00A3797D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•  Проблеми с някои родители – </w:t>
            </w: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неразбиране целите на детското заведение, разминаване на критериите за развитие на децата, свръхпретенции и др.</w:t>
            </w:r>
          </w:p>
          <w:p w:rsidR="00A3797D" w:rsidRPr="00390241" w:rsidRDefault="00A3797D" w:rsidP="00204A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90241">
              <w:rPr>
                <w:rFonts w:eastAsia="Calibri" w:cs="Times New Roman"/>
                <w:color w:val="000000"/>
                <w:sz w:val="24"/>
                <w:szCs w:val="24"/>
              </w:rPr>
              <w:t xml:space="preserve">   •  Остаряла материална и дидактическа база.</w:t>
            </w:r>
          </w:p>
        </w:tc>
      </w:tr>
    </w:tbl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Възможности за справяне: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left="283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Автономия на детската градина в условията на държавна регулация.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Дейности за постигане на целите и р</w:t>
      </w:r>
      <w:r w:rsidR="00027853" w:rsidRPr="00390241">
        <w:rPr>
          <w:rFonts w:eastAsia="Times New Roman" w:cs="Times New Roman"/>
          <w:b/>
          <w:bCs/>
          <w:sz w:val="24"/>
          <w:szCs w:val="20"/>
        </w:rPr>
        <w:t>азпределение на ресурсите.</w:t>
      </w:r>
    </w:p>
    <w:p w:rsidR="00CB0979" w:rsidRPr="00390241" w:rsidRDefault="00CB0979" w:rsidP="00CB0979">
      <w:pPr>
        <w:autoSpaceDE w:val="0"/>
        <w:autoSpaceDN w:val="0"/>
        <w:adjustRightInd w:val="0"/>
        <w:spacing w:after="0" w:line="300" w:lineRule="exact"/>
        <w:ind w:left="643"/>
        <w:jc w:val="both"/>
        <w:rPr>
          <w:rFonts w:eastAsia="Times New Roman" w:cs="Times New Roman"/>
          <w:b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 xml:space="preserve">4.1. </w:t>
      </w:r>
      <w:r w:rsidR="00AE421D" w:rsidRPr="00390241">
        <w:rPr>
          <w:rFonts w:eastAsia="Times New Roman" w:cs="Times New Roman"/>
          <w:b/>
          <w:bCs/>
          <w:sz w:val="24"/>
          <w:szCs w:val="20"/>
        </w:rPr>
        <w:t>Създаване на условия за развиващо обучение, което да осигурява изява на детските способности и дарования:</w:t>
      </w:r>
    </w:p>
    <w:p w:rsidR="00204A90" w:rsidRPr="00390241" w:rsidRDefault="00AE42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Подобряване ефективността на образователно-възпитателния процес, чрез повишаване професионалната компетентност и квалификация на педагогическите, медицинските кадри и ПОП.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Контрол по изпълнение на ДОС.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Приоритет на личностно ориентиран модел на обучение и възпитание.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Планиране на учебното съдържание, цели и задачи, отговарящи на възможностите, потребностите и интересите на децата и водещи до формиране ценностната система на детската личност.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Многообразие на формите на педагогическо взаимодействие.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 Индивидуализация и диференциация на педагогическото взаимодействие.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 Стимулиране на общите и специални способности на децата.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 Изграждане у децата на добро самочувствие, вярна самооценка и модел на адекватна реакция към околния свят.</w:t>
      </w:r>
    </w:p>
    <w:p w:rsidR="00AE421D" w:rsidRPr="00390241" w:rsidRDefault="00AE421D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  <w:r w:rsidRPr="00390241">
        <w:rPr>
          <w:rFonts w:eastAsia="Times New Roman" w:cs="Times New Roman"/>
          <w:bCs/>
          <w:sz w:val="24"/>
          <w:szCs w:val="20"/>
        </w:rPr>
        <w:t>•    Постигане на максимално добри условия за обучение, възпитание и труд.</w:t>
      </w:r>
    </w:p>
    <w:p w:rsidR="00CB0979" w:rsidRPr="00390241" w:rsidRDefault="00CB0979" w:rsidP="00AE421D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  <w:lang w:val="en-US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 xml:space="preserve">4.2. </w:t>
      </w:r>
      <w:r w:rsidR="0022361D" w:rsidRPr="00390241">
        <w:rPr>
          <w:rFonts w:eastAsia="Times New Roman" w:cs="Times New Roman"/>
          <w:b/>
          <w:bCs/>
          <w:sz w:val="24"/>
          <w:szCs w:val="20"/>
        </w:rPr>
        <w:t>Осигуряване на емоционален, социален и физически комфорт, като се акцентира върху съдържателната разнообразна дейност и интегриране на видовете детска активност:</w:t>
      </w:r>
    </w:p>
    <w:p w:rsidR="00204A90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Въвеждане на гъвкава и вариативна програма за целодневната организация на учебния ден.</w:t>
      </w:r>
    </w:p>
    <w:p w:rsidR="0022361D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Прилагане на тридиционни и интерактивни игрови технологии, стимулиращи социалното, емоционалното, двигателното, позитивното и художествено-творческото развитие и изяви на децата.</w:t>
      </w:r>
    </w:p>
    <w:p w:rsidR="0022361D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Ориентиране в общочовешките ценности за образование в интегрираната мултиетническа среда.</w:t>
      </w:r>
    </w:p>
    <w:p w:rsidR="0022361D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  Прилагане на педагогически технологии, стимулиращи положителни социални отношения и превенция на детската агресия. Възприемане на поведенчески модели.</w:t>
      </w:r>
    </w:p>
    <w:p w:rsidR="0022361D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Обогатяване на материалната, дидактическата и спортна бази и рационалното им използване.</w:t>
      </w:r>
    </w:p>
    <w:p w:rsidR="0022361D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Разнообразяване дейностите в допълнителните творчески форми по отношение съдържание и форми.</w:t>
      </w:r>
    </w:p>
    <w:p w:rsidR="0022361D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 Посещение на театрални</w:t>
      </w:r>
      <w:r w:rsidR="001F2A63" w:rsidRPr="00390241">
        <w:rPr>
          <w:rFonts w:eastAsia="Times New Roman" w:cs="Times New Roman"/>
          <w:bCs/>
          <w:sz w:val="24"/>
          <w:szCs w:val="20"/>
        </w:rPr>
        <w:t xml:space="preserve"> постановки и развлекателни прог</w:t>
      </w:r>
      <w:r w:rsidRPr="00390241">
        <w:rPr>
          <w:rFonts w:eastAsia="Times New Roman" w:cs="Times New Roman"/>
          <w:bCs/>
          <w:sz w:val="24"/>
          <w:szCs w:val="20"/>
        </w:rPr>
        <w:t>рами</w:t>
      </w:r>
      <w:r w:rsidR="001F2A63" w:rsidRPr="00390241">
        <w:rPr>
          <w:rFonts w:eastAsia="Times New Roman" w:cs="Times New Roman"/>
          <w:bCs/>
          <w:sz w:val="24"/>
          <w:szCs w:val="20"/>
        </w:rPr>
        <w:t>.</w:t>
      </w:r>
    </w:p>
    <w:p w:rsidR="001F2A63" w:rsidRPr="00390241" w:rsidRDefault="001F2A6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lastRenderedPageBreak/>
        <w:t>•    Организиране на празници, тържества, развлечения и спортни мероприятия – възможността за обогатяване детските преживявания и развиване емпатия у детето, която е основа на градивното социално общуване.</w:t>
      </w:r>
    </w:p>
    <w:p w:rsidR="0022361D" w:rsidRPr="00390241" w:rsidRDefault="0022361D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 xml:space="preserve">4.3. </w:t>
      </w:r>
      <w:r w:rsidR="001F2A63" w:rsidRPr="00390241">
        <w:rPr>
          <w:rFonts w:eastAsia="Times New Roman" w:cs="Times New Roman"/>
          <w:b/>
          <w:bCs/>
          <w:sz w:val="24"/>
          <w:szCs w:val="20"/>
        </w:rPr>
        <w:t>Работа за укрепване детското здраве:</w:t>
      </w:r>
      <w:r w:rsidRPr="00390241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</w:p>
    <w:p w:rsidR="00204A90" w:rsidRPr="00390241" w:rsidRDefault="001F2A6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Създаване на оптимален двигателен режим и укрепване детския организъм чрез разходки, спорт и игри на открито.</w:t>
      </w:r>
    </w:p>
    <w:p w:rsidR="001F2A63" w:rsidRPr="00390241" w:rsidRDefault="001F2A6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Изграждане на здравно-хигиенни навици на децата.</w:t>
      </w:r>
    </w:p>
    <w:p w:rsidR="001F2A63" w:rsidRPr="00390241" w:rsidRDefault="001F2A6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Планиране и организиране седмици на здравословното хранене.</w:t>
      </w:r>
    </w:p>
    <w:p w:rsidR="001F2A63" w:rsidRPr="00390241" w:rsidRDefault="001F2A6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Провеждане на достъпно здравно-хигиенно обучение за превенция на детското здраве.</w:t>
      </w:r>
    </w:p>
    <w:p w:rsidR="009F6A57" w:rsidRPr="00390241" w:rsidRDefault="001F2A6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•    </w:t>
      </w:r>
      <w:r w:rsidR="009F6A57" w:rsidRPr="00390241">
        <w:rPr>
          <w:rFonts w:eastAsia="Times New Roman" w:cs="Times New Roman"/>
          <w:bCs/>
          <w:sz w:val="24"/>
          <w:szCs w:val="20"/>
        </w:rPr>
        <w:t>Разработване и реализиране на Календар на дейностите по здравеопазване и хигиена.</w:t>
      </w:r>
    </w:p>
    <w:p w:rsidR="009F6A57" w:rsidRPr="00390241" w:rsidRDefault="009F6A57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Изграждане на здравословни хранителни навици у децата.</w:t>
      </w:r>
    </w:p>
    <w:p w:rsidR="00027853" w:rsidRPr="00390241" w:rsidRDefault="009F6A57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•   Формиране на лично отношение </w:t>
      </w:r>
      <w:r w:rsidR="00027853" w:rsidRPr="00390241">
        <w:rPr>
          <w:rFonts w:eastAsia="Times New Roman" w:cs="Times New Roman"/>
          <w:bCs/>
          <w:sz w:val="24"/>
          <w:szCs w:val="20"/>
        </w:rPr>
        <w:t xml:space="preserve">към здравето като </w:t>
      </w:r>
      <w:r w:rsidR="00392FAD" w:rsidRPr="00390241">
        <w:rPr>
          <w:rFonts w:eastAsia="Times New Roman" w:cs="Times New Roman"/>
          <w:bCs/>
          <w:sz w:val="24"/>
          <w:szCs w:val="20"/>
        </w:rPr>
        <w:t xml:space="preserve"> </w:t>
      </w:r>
      <w:r w:rsidR="00027853" w:rsidRPr="00390241">
        <w:rPr>
          <w:rFonts w:eastAsia="Times New Roman" w:cs="Times New Roman"/>
          <w:bCs/>
          <w:sz w:val="24"/>
          <w:szCs w:val="20"/>
        </w:rPr>
        <w:t xml:space="preserve">основна ценност. </w:t>
      </w:r>
    </w:p>
    <w:p w:rsidR="005C25AF" w:rsidRPr="00390241" w:rsidRDefault="0002785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 Изработване на социални умения и навици за здавословен</w:t>
      </w:r>
      <w:r w:rsidR="005C25AF" w:rsidRPr="00390241">
        <w:rPr>
          <w:rFonts w:eastAsia="Times New Roman" w:cs="Times New Roman"/>
          <w:bCs/>
          <w:sz w:val="24"/>
          <w:szCs w:val="20"/>
        </w:rPr>
        <w:t xml:space="preserve"> избор на поведение.</w:t>
      </w:r>
    </w:p>
    <w:p w:rsidR="005C25AF" w:rsidRPr="00390241" w:rsidRDefault="005C25AF" w:rsidP="005C25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     •   При</w:t>
      </w:r>
      <w:r w:rsidR="00CC1E82">
        <w:rPr>
          <w:rFonts w:eastAsia="Times New Roman" w:cs="Times New Roman"/>
          <w:bCs/>
          <w:sz w:val="24"/>
          <w:szCs w:val="20"/>
        </w:rPr>
        <w:t>лагане на Схема „Училищен плод” и Схема „Училищно мляко”</w:t>
      </w:r>
    </w:p>
    <w:p w:rsidR="00B04BA3" w:rsidRPr="00390241" w:rsidRDefault="00B04BA3" w:rsidP="005C25AF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B04BA3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 xml:space="preserve"> </w:t>
      </w:r>
      <w:r w:rsidR="00204A90" w:rsidRPr="00390241">
        <w:rPr>
          <w:rFonts w:eastAsia="Times New Roman" w:cs="Times New Roman"/>
          <w:b/>
          <w:bCs/>
          <w:sz w:val="24"/>
          <w:szCs w:val="20"/>
        </w:rPr>
        <w:t>4.4</w:t>
      </w:r>
      <w:r w:rsidRPr="00390241">
        <w:rPr>
          <w:rFonts w:eastAsia="Times New Roman" w:cs="Times New Roman"/>
          <w:b/>
          <w:bCs/>
          <w:sz w:val="24"/>
          <w:szCs w:val="20"/>
        </w:rPr>
        <w:t>. Целенасочена и ефективна кадрова политика.</w:t>
      </w:r>
    </w:p>
    <w:p w:rsidR="00CB0979" w:rsidRPr="00390241" w:rsidRDefault="00CB0979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</w:p>
    <w:p w:rsidR="00B04BA3" w:rsidRPr="00390241" w:rsidRDefault="00B04BA3" w:rsidP="00B04BA3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  Създаване на позитивен микроклимат в детската градина. </w:t>
      </w:r>
    </w:p>
    <w:p w:rsidR="00B04BA3" w:rsidRPr="00390241" w:rsidRDefault="00B04BA3" w:rsidP="00B04BA3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Предоставяне на всеки работещ възможност за професионално развитие и себеизява. </w:t>
      </w:r>
    </w:p>
    <w:p w:rsidR="00B04BA3" w:rsidRPr="00390241" w:rsidRDefault="00B04BA3" w:rsidP="00B04BA3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Провеждане на вътрешни квалификационни обучения за учителите, медицинските сестри и ПОП. </w:t>
      </w:r>
    </w:p>
    <w:p w:rsidR="00392FAD" w:rsidRPr="00390241" w:rsidRDefault="00B04BA3" w:rsidP="00B04BA3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 </w:t>
      </w:r>
      <w:r w:rsidR="00392FAD" w:rsidRPr="00390241">
        <w:rPr>
          <w:rFonts w:eastAsia="Times New Roman" w:cs="Times New Roman"/>
          <w:bCs/>
          <w:sz w:val="24"/>
          <w:szCs w:val="20"/>
        </w:rPr>
        <w:t xml:space="preserve">Материално стимулиране чрез диференцираното заплащане за постигнати резултати от труда по определени критерии. </w:t>
      </w:r>
    </w:p>
    <w:p w:rsidR="00392FAD" w:rsidRPr="00390241" w:rsidRDefault="00392FAD" w:rsidP="00B04BA3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 Създаване на система за морално стимулиране и мотивиране на учителите и ПОП. </w:t>
      </w:r>
    </w:p>
    <w:p w:rsidR="00A34398" w:rsidRPr="00390241" w:rsidRDefault="00392FAD" w:rsidP="00B04BA3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 </w:t>
      </w:r>
      <w:r w:rsidR="00A34398" w:rsidRPr="00390241">
        <w:rPr>
          <w:rFonts w:eastAsia="Times New Roman" w:cs="Times New Roman"/>
          <w:bCs/>
          <w:sz w:val="24"/>
          <w:szCs w:val="20"/>
        </w:rPr>
        <w:t xml:space="preserve">Разработване на дългосрочна кадрова политика на детската градина.  </w:t>
      </w:r>
    </w:p>
    <w:p w:rsidR="00A34398" w:rsidRPr="00390241" w:rsidRDefault="00A34398" w:rsidP="00B04BA3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  Разработване на правила за участие на персонала в квалификационната дейност и механизъм за финансова подкрепа. </w:t>
      </w:r>
    </w:p>
    <w:p w:rsidR="00204A90" w:rsidRPr="00390241" w:rsidRDefault="00A34398" w:rsidP="00C82E4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•  Оценка на кадрите – компетентна, обективна, безпристрастна.</w:t>
      </w:r>
    </w:p>
    <w:p w:rsidR="009975EC" w:rsidRPr="00390241" w:rsidRDefault="009975EC" w:rsidP="00C82E4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9975EC" w:rsidRPr="00390241" w:rsidRDefault="009975EC" w:rsidP="00C82E46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CB0979" w:rsidRPr="00390241" w:rsidRDefault="00C82E46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4.5. Оптимизиране взаимодействието със семейството, обществеността и неправителствените организации.</w:t>
      </w:r>
    </w:p>
    <w:p w:rsidR="000B289C" w:rsidRPr="00390241" w:rsidRDefault="00C82E46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0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 xml:space="preserve"> </w:t>
      </w:r>
      <w:r w:rsidR="000B289C" w:rsidRPr="00390241">
        <w:rPr>
          <w:rFonts w:eastAsia="Times New Roman" w:cs="Times New Roman"/>
          <w:b/>
          <w:bCs/>
          <w:sz w:val="24"/>
          <w:szCs w:val="20"/>
        </w:rPr>
        <w:t xml:space="preserve"> </w:t>
      </w:r>
    </w:p>
    <w:p w:rsidR="000B289C" w:rsidRPr="00390241" w:rsidRDefault="000B289C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• Реализиране на разнообразни и ефективни форми за сътрудничество със семейството. </w:t>
      </w:r>
    </w:p>
    <w:p w:rsidR="000B289C" w:rsidRPr="00390241" w:rsidRDefault="000B289C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•  Присъствие на родителите в реалния образователен процес.  </w:t>
      </w:r>
    </w:p>
    <w:p w:rsidR="000B289C" w:rsidRPr="00390241" w:rsidRDefault="000B289C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•  Организиране на спортни и трудови дейности съвместно с родителите. </w:t>
      </w:r>
    </w:p>
    <w:p w:rsidR="000B289C" w:rsidRPr="00390241" w:rsidRDefault="000B289C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• Мотивиране на родителите за съдействие при обогатяване и ремонт на материалната база.  </w:t>
      </w:r>
    </w:p>
    <w:p w:rsidR="00325F17" w:rsidRPr="00390241" w:rsidRDefault="000B289C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•  Сформиране на работещо училищно настоятелство.</w:t>
      </w:r>
      <w:r w:rsidR="00325F17" w:rsidRPr="00390241">
        <w:rPr>
          <w:rFonts w:eastAsia="Times New Roman" w:cs="Times New Roman"/>
          <w:bCs/>
          <w:sz w:val="24"/>
          <w:szCs w:val="20"/>
        </w:rPr>
        <w:t xml:space="preserve"> </w:t>
      </w:r>
    </w:p>
    <w:p w:rsidR="00325F17" w:rsidRPr="00390241" w:rsidRDefault="00325F17" w:rsidP="00325F17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•  </w:t>
      </w:r>
      <w:r w:rsidR="000B289C" w:rsidRPr="00390241">
        <w:rPr>
          <w:rFonts w:eastAsia="Times New Roman" w:cs="Times New Roman"/>
          <w:bCs/>
          <w:sz w:val="24"/>
          <w:szCs w:val="20"/>
        </w:rPr>
        <w:t>Сътрудничество с НПО „Заедно за Кнежа”, НПО „Зелени Балкани”, НПО „Първи юни”, РК на ОМЕП – Плевен, МИГ гр. Кнежа.</w:t>
      </w:r>
      <w:r w:rsidRPr="00390241">
        <w:rPr>
          <w:rFonts w:eastAsia="Times New Roman" w:cs="Times New Roman"/>
          <w:bCs/>
          <w:sz w:val="24"/>
          <w:szCs w:val="20"/>
        </w:rPr>
        <w:t xml:space="preserve">  </w:t>
      </w:r>
    </w:p>
    <w:p w:rsidR="00325F17" w:rsidRPr="00390241" w:rsidRDefault="000B289C" w:rsidP="000B289C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lastRenderedPageBreak/>
        <w:t xml:space="preserve">       • </w:t>
      </w:r>
      <w:r w:rsidR="00325F17" w:rsidRPr="00390241">
        <w:rPr>
          <w:rFonts w:eastAsia="Times New Roman" w:cs="Times New Roman"/>
          <w:bCs/>
          <w:sz w:val="24"/>
          <w:szCs w:val="20"/>
        </w:rPr>
        <w:t xml:space="preserve"> Привличане на обществеността като партньор на детската градина, чрез различни изяви на екипа и децата.  </w:t>
      </w:r>
    </w:p>
    <w:p w:rsidR="00325F17" w:rsidRPr="00390241" w:rsidRDefault="00325F17" w:rsidP="00325F17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    •  Спонсорство и дарения от частни фирми.  </w:t>
      </w:r>
    </w:p>
    <w:p w:rsidR="00204A90" w:rsidRPr="00390241" w:rsidRDefault="00325F17" w:rsidP="00325F17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    •  Кандидатстване по национални програми и проекти.</w:t>
      </w:r>
    </w:p>
    <w:p w:rsidR="00204A90" w:rsidRPr="00390241" w:rsidRDefault="00204A90" w:rsidP="00325F17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</w:p>
    <w:p w:rsidR="00325F17" w:rsidRPr="00390241" w:rsidRDefault="00325F17" w:rsidP="00325F17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390241">
        <w:rPr>
          <w:rFonts w:eastAsia="Times New Roman" w:cs="Times New Roman"/>
          <w:b/>
          <w:bCs/>
          <w:sz w:val="24"/>
          <w:szCs w:val="20"/>
        </w:rPr>
        <w:t>Дейностите за постигане на целите се осъществяват чрез:</w:t>
      </w:r>
    </w:p>
    <w:p w:rsidR="00CB0979" w:rsidRPr="00390241" w:rsidRDefault="00CB0979" w:rsidP="00325F17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/>
          <w:bCs/>
          <w:sz w:val="24"/>
          <w:szCs w:val="20"/>
          <w:lang w:val="en-US"/>
        </w:rPr>
      </w:pPr>
    </w:p>
    <w:p w:rsidR="00325F17" w:rsidRPr="00390241" w:rsidRDefault="00325F17" w:rsidP="00325F1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Образователно-възпитателния процес;</w:t>
      </w:r>
    </w:p>
    <w:p w:rsidR="00325F17" w:rsidRPr="00390241" w:rsidRDefault="00325F17" w:rsidP="00325F1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Годишния план;</w:t>
      </w:r>
    </w:p>
    <w:p w:rsidR="00325F17" w:rsidRPr="00390241" w:rsidRDefault="00325F17" w:rsidP="00325F1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Програма за празници и развлечения и спортни мероприятия;</w:t>
      </w:r>
    </w:p>
    <w:p w:rsidR="00325F17" w:rsidRPr="00390241" w:rsidRDefault="00325F17" w:rsidP="00325F1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Календара на дейностите по здравеопазване и хигиена;</w:t>
      </w:r>
    </w:p>
    <w:p w:rsidR="00325F17" w:rsidRPr="00390241" w:rsidRDefault="00325F17" w:rsidP="00325F1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Допълнителните творчески форми;</w:t>
      </w:r>
    </w:p>
    <w:p w:rsidR="00325F17" w:rsidRPr="00390241" w:rsidRDefault="00325F17" w:rsidP="00325F1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Училищното настоятелство;</w:t>
      </w:r>
    </w:p>
    <w:p w:rsidR="00325F17" w:rsidRPr="00390241" w:rsidRDefault="00325F17" w:rsidP="00325F17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Общественият съвет;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left="397"/>
        <w:jc w:val="both"/>
        <w:rPr>
          <w:rFonts w:eastAsia="Times New Roman" w:cs="Times New Roman"/>
          <w:bCs/>
          <w:noProof/>
          <w:sz w:val="24"/>
          <w:szCs w:val="20"/>
        </w:rPr>
      </w:pPr>
    </w:p>
    <w:p w:rsidR="00204A90" w:rsidRPr="00390241" w:rsidRDefault="00204A90" w:rsidP="00B34E79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4"/>
        </w:rPr>
      </w:pPr>
      <w:bookmarkStart w:id="7" w:name="_Toc298748186"/>
      <w:r w:rsidRPr="00390241">
        <w:rPr>
          <w:rFonts w:eastAsia="Times New Roman" w:cs="Times New Roman"/>
          <w:b/>
          <w:bCs/>
          <w:sz w:val="24"/>
          <w:szCs w:val="24"/>
        </w:rPr>
        <w:t>VІ. Очаквани резултати</w:t>
      </w:r>
      <w:bookmarkEnd w:id="7"/>
      <w:r w:rsidRPr="00390241">
        <w:rPr>
          <w:rFonts w:eastAsia="Times New Roman" w:cs="Times New Roman"/>
          <w:bCs/>
          <w:sz w:val="24"/>
          <w:szCs w:val="24"/>
        </w:rPr>
        <w:t>:</w:t>
      </w:r>
    </w:p>
    <w:p w:rsidR="002D06EC" w:rsidRPr="00390241" w:rsidRDefault="002D06EC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204A90" w:rsidRPr="00390241" w:rsidRDefault="00204A90" w:rsidP="00204A90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Модерно управление.</w:t>
      </w:r>
    </w:p>
    <w:p w:rsidR="00204A90" w:rsidRPr="00390241" w:rsidRDefault="00204A90" w:rsidP="00204A90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Добра организационна култура.</w:t>
      </w:r>
    </w:p>
    <w:p w:rsidR="00204A90" w:rsidRPr="00390241" w:rsidRDefault="00204A90" w:rsidP="00204A90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Споделени ценности.</w:t>
      </w:r>
    </w:p>
    <w:p w:rsidR="00204A90" w:rsidRPr="00390241" w:rsidRDefault="00204A90" w:rsidP="00204A90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Ефективна и резултатна квалификационна дейност.</w:t>
      </w:r>
    </w:p>
    <w:p w:rsidR="00204A90" w:rsidRPr="00390241" w:rsidRDefault="00204A90" w:rsidP="00204A90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Работещи партньорства и взаимодействия на детската градина.</w:t>
      </w:r>
    </w:p>
    <w:p w:rsidR="00204A90" w:rsidRPr="00390241" w:rsidRDefault="00204A90" w:rsidP="00204A90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="Times New Roman"/>
          <w:bCs/>
          <w:sz w:val="24"/>
          <w:szCs w:val="24"/>
        </w:rPr>
      </w:pPr>
      <w:r w:rsidRPr="00390241">
        <w:rPr>
          <w:rFonts w:eastAsia="Times New Roman" w:cs="Times New Roman"/>
          <w:bCs/>
          <w:sz w:val="24"/>
          <w:szCs w:val="24"/>
        </w:rPr>
        <w:t>Гарантиране на равен шанс на всяко дете при постъпване в училище.</w:t>
      </w:r>
    </w:p>
    <w:p w:rsidR="00204A90" w:rsidRPr="00390241" w:rsidRDefault="00204A90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204A90" w:rsidRPr="00390241" w:rsidRDefault="007E17C4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  <w:r w:rsidRPr="00390241">
        <w:rPr>
          <w:rFonts w:eastAsia="Times New Roman" w:cs="Times New Roman"/>
          <w:b/>
          <w:bCs/>
          <w:sz w:val="24"/>
          <w:szCs w:val="24"/>
        </w:rPr>
        <w:t>VІІ. Общи положения:</w:t>
      </w:r>
    </w:p>
    <w:p w:rsidR="002D06EC" w:rsidRPr="00390241" w:rsidRDefault="002D06EC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E17C4" w:rsidRPr="00390241" w:rsidRDefault="007E17C4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ab/>
        <w:t xml:space="preserve">•   Стратегията е </w:t>
      </w:r>
      <w:r w:rsidR="00FD05F5" w:rsidRPr="00390241">
        <w:rPr>
          <w:rFonts w:eastAsia="Times New Roman" w:cs="Times New Roman"/>
          <w:bCs/>
          <w:sz w:val="24"/>
          <w:szCs w:val="20"/>
        </w:rPr>
        <w:t>основен документ, който указва посоката на развитие на детската градина.</w:t>
      </w:r>
    </w:p>
    <w:p w:rsidR="00FD05F5" w:rsidRPr="00390241" w:rsidRDefault="00FD05F5" w:rsidP="00FD05F5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   •       Стратегията се приема с решение на Педагогическия съвет.</w:t>
      </w:r>
    </w:p>
    <w:p w:rsidR="00FD05F5" w:rsidRPr="00390241" w:rsidRDefault="00FD05F5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   •   Изпълнението на Стратегията се конкретизира в план за действие и финансиране и в годишните планове за дейността на детската градина, като по този начин всяка отделна учебна година се разглежда като етап за постигането на крайните стратегически цели.</w:t>
      </w:r>
    </w:p>
    <w:p w:rsidR="00FD05F5" w:rsidRPr="00390241" w:rsidRDefault="00FD05F5" w:rsidP="00204A90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   •       Стратегията се актуализира при възникнала необходимост.</w:t>
      </w:r>
    </w:p>
    <w:p w:rsidR="007E17C4" w:rsidRPr="00390241" w:rsidRDefault="00FD05F5" w:rsidP="002D06EC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   •       Познаването и работата по изпълнението на Стратегията е задължение на работещите в детската градина и гаранция за развитие</w:t>
      </w:r>
      <w:r w:rsidR="002D06EC" w:rsidRPr="00390241">
        <w:rPr>
          <w:rFonts w:eastAsia="Times New Roman" w:cs="Times New Roman"/>
          <w:bCs/>
          <w:sz w:val="24"/>
          <w:szCs w:val="20"/>
        </w:rPr>
        <w:t xml:space="preserve"> и утвърждаване на институцията.</w:t>
      </w:r>
    </w:p>
    <w:p w:rsidR="002D06EC" w:rsidRPr="00390241" w:rsidRDefault="002D06EC" w:rsidP="002D06EC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eastAsia="Times New Roman" w:cs="Times New Roman"/>
          <w:bCs/>
          <w:sz w:val="24"/>
          <w:szCs w:val="20"/>
        </w:rPr>
      </w:pPr>
    </w:p>
    <w:p w:rsidR="007E17C4" w:rsidRPr="00390241" w:rsidRDefault="007E17C4" w:rsidP="007E17C4">
      <w:pPr>
        <w:autoSpaceDE w:val="0"/>
        <w:autoSpaceDN w:val="0"/>
        <w:adjustRightInd w:val="0"/>
        <w:spacing w:after="0" w:line="300" w:lineRule="exact"/>
        <w:ind w:left="397"/>
        <w:jc w:val="center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>Настоящата Стратегия има отворен характер и подлежи на преразглеждане, изменение и обогатяване. Актуализира се в началото на всяка учебна година, както и в случаи на значителни промени в нормативните актове за средното образование.</w:t>
      </w:r>
    </w:p>
    <w:p w:rsidR="007E17C4" w:rsidRPr="00390241" w:rsidRDefault="007E17C4" w:rsidP="007E17C4">
      <w:pPr>
        <w:autoSpaceDE w:val="0"/>
        <w:autoSpaceDN w:val="0"/>
        <w:adjustRightInd w:val="0"/>
        <w:spacing w:after="0" w:line="300" w:lineRule="exact"/>
        <w:ind w:left="397"/>
        <w:jc w:val="both"/>
        <w:rPr>
          <w:rFonts w:eastAsia="Times New Roman" w:cs="Times New Roman"/>
          <w:bCs/>
          <w:sz w:val="24"/>
          <w:szCs w:val="20"/>
        </w:rPr>
      </w:pPr>
    </w:p>
    <w:p w:rsidR="007E17C4" w:rsidRPr="00390241" w:rsidRDefault="002D06EC" w:rsidP="007E17C4">
      <w:pPr>
        <w:autoSpaceDE w:val="0"/>
        <w:autoSpaceDN w:val="0"/>
        <w:adjustRightInd w:val="0"/>
        <w:spacing w:after="0" w:line="300" w:lineRule="exact"/>
        <w:ind w:left="397" w:firstLine="311"/>
        <w:rPr>
          <w:rFonts w:eastAsia="Times New Roman" w:cs="Times New Roman"/>
          <w:bCs/>
          <w:sz w:val="24"/>
          <w:szCs w:val="20"/>
        </w:rPr>
      </w:pPr>
      <w:r w:rsidRPr="00390241">
        <w:rPr>
          <w:rFonts w:eastAsia="Times New Roman" w:cs="Times New Roman"/>
          <w:bCs/>
          <w:sz w:val="24"/>
          <w:szCs w:val="20"/>
        </w:rPr>
        <w:t xml:space="preserve">  </w:t>
      </w:r>
      <w:r w:rsidR="007E17C4" w:rsidRPr="00390241">
        <w:rPr>
          <w:rFonts w:eastAsia="Times New Roman" w:cs="Times New Roman"/>
          <w:bCs/>
          <w:sz w:val="24"/>
          <w:szCs w:val="20"/>
        </w:rPr>
        <w:t>На основата на тази стратегия всяка година се изработва годишен план с конкретни срокове и отговорници.</w:t>
      </w:r>
    </w:p>
    <w:p w:rsidR="000070A7" w:rsidRDefault="000070A7" w:rsidP="000070A7">
      <w:pPr>
        <w:pStyle w:val="a7"/>
        <w:ind w:firstLine="0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:rsidR="000713C1" w:rsidRPr="000713C1" w:rsidRDefault="000713C1" w:rsidP="000070A7">
      <w:pPr>
        <w:pStyle w:val="a7"/>
        <w:ind w:firstLine="0"/>
        <w:rPr>
          <w:rFonts w:asciiTheme="minorHAnsi" w:hAnsiTheme="minorHAnsi"/>
          <w:b/>
          <w:noProof/>
          <w:szCs w:val="24"/>
          <w:lang w:eastAsia="bg-BG"/>
        </w:rPr>
      </w:pPr>
    </w:p>
    <w:p w:rsidR="000070A7" w:rsidRPr="00390241" w:rsidRDefault="000070A7" w:rsidP="000070A7">
      <w:pPr>
        <w:pStyle w:val="a7"/>
        <w:rPr>
          <w:rFonts w:asciiTheme="minorHAnsi" w:hAnsiTheme="minorHAnsi"/>
          <w:b/>
          <w:noProof/>
          <w:szCs w:val="24"/>
          <w:lang w:val="en-US" w:eastAsia="bg-BG"/>
        </w:rPr>
      </w:pPr>
    </w:p>
    <w:p w:rsidR="000070A7" w:rsidRPr="00390241" w:rsidRDefault="000070A7" w:rsidP="000070A7">
      <w:pPr>
        <w:pStyle w:val="a7"/>
        <w:jc w:val="center"/>
        <w:rPr>
          <w:rFonts w:asciiTheme="minorHAnsi" w:hAnsiTheme="minorHAnsi"/>
          <w:b/>
          <w:szCs w:val="24"/>
          <w:lang w:val="en-US"/>
        </w:rPr>
      </w:pPr>
      <w:r w:rsidRPr="00390241">
        <w:rPr>
          <w:rFonts w:asciiTheme="minorHAnsi" w:hAnsiTheme="minorHAnsi"/>
          <w:bCs w:val="0"/>
          <w:noProof/>
          <w:lang w:eastAsia="bg-BG"/>
        </w:rPr>
        <w:lastRenderedPageBreak/>
        <w:drawing>
          <wp:anchor distT="0" distB="0" distL="114300" distR="114300" simplePos="0" relativeHeight="251660288" behindDoc="0" locked="0" layoutInCell="1" allowOverlap="1" wp14:anchorId="6F21391F" wp14:editId="68995631">
            <wp:simplePos x="0" y="0"/>
            <wp:positionH relativeFrom="column">
              <wp:posOffset>-328295</wp:posOffset>
            </wp:positionH>
            <wp:positionV relativeFrom="paragraph">
              <wp:posOffset>216535</wp:posOffset>
            </wp:positionV>
            <wp:extent cx="6496050" cy="843915"/>
            <wp:effectExtent l="0" t="0" r="0" b="0"/>
            <wp:wrapSquare wrapText="bothSides"/>
            <wp:docPr id="8" name="Картина 8" descr="C:\Users\Direktor\Desktop\dg 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dg 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0A7" w:rsidRPr="00390241" w:rsidRDefault="000070A7" w:rsidP="000070A7">
      <w:pPr>
        <w:pStyle w:val="a7"/>
        <w:rPr>
          <w:rFonts w:asciiTheme="minorHAnsi" w:hAnsiTheme="minorHAnsi"/>
          <w:b/>
          <w:szCs w:val="24"/>
          <w:lang w:val="en-US"/>
        </w:rPr>
      </w:pPr>
    </w:p>
    <w:p w:rsidR="000070A7" w:rsidRPr="00390241" w:rsidRDefault="000070A7" w:rsidP="000070A7">
      <w:pPr>
        <w:pStyle w:val="a7"/>
        <w:rPr>
          <w:rFonts w:asciiTheme="minorHAnsi" w:hAnsiTheme="minorHAnsi"/>
          <w:b/>
          <w:szCs w:val="24"/>
        </w:rPr>
      </w:pPr>
    </w:p>
    <w:p w:rsidR="00A97FF0" w:rsidRPr="00390241" w:rsidRDefault="00A97FF0" w:rsidP="000070A7">
      <w:pPr>
        <w:pStyle w:val="a7"/>
        <w:rPr>
          <w:rFonts w:asciiTheme="minorHAnsi" w:hAnsiTheme="minorHAnsi"/>
          <w:b/>
          <w:szCs w:val="24"/>
        </w:rPr>
      </w:pPr>
    </w:p>
    <w:p w:rsidR="008B371E" w:rsidRPr="00390241" w:rsidRDefault="008B371E" w:rsidP="000070A7">
      <w:pPr>
        <w:pStyle w:val="a7"/>
        <w:rPr>
          <w:rFonts w:asciiTheme="minorHAnsi" w:hAnsiTheme="minorHAnsi"/>
          <w:b/>
          <w:szCs w:val="24"/>
        </w:rPr>
      </w:pPr>
    </w:p>
    <w:p w:rsidR="000070A7" w:rsidRPr="00390241" w:rsidRDefault="005678CF" w:rsidP="005678CF">
      <w:pPr>
        <w:pStyle w:val="a7"/>
        <w:jc w:val="center"/>
        <w:rPr>
          <w:rFonts w:asciiTheme="minorHAnsi" w:hAnsiTheme="minorHAnsi"/>
          <w:b/>
          <w:szCs w:val="24"/>
        </w:rPr>
      </w:pPr>
      <w:r w:rsidRPr="00390241">
        <w:rPr>
          <w:rFonts w:asciiTheme="minorHAnsi" w:hAnsiTheme="minorHAnsi"/>
          <w:b/>
          <w:szCs w:val="24"/>
        </w:rPr>
        <w:t>СПИСЪК</w:t>
      </w:r>
    </w:p>
    <w:p w:rsidR="005678CF" w:rsidRPr="00390241" w:rsidRDefault="005678CF" w:rsidP="005678CF">
      <w:pPr>
        <w:pStyle w:val="a7"/>
        <w:jc w:val="center"/>
        <w:rPr>
          <w:rFonts w:asciiTheme="minorHAnsi" w:hAnsiTheme="minorHAnsi"/>
          <w:b/>
          <w:szCs w:val="24"/>
        </w:rPr>
      </w:pPr>
      <w:r w:rsidRPr="00390241">
        <w:rPr>
          <w:rFonts w:asciiTheme="minorHAnsi" w:hAnsiTheme="minorHAnsi"/>
          <w:b/>
          <w:szCs w:val="24"/>
        </w:rPr>
        <w:t xml:space="preserve">НА СЛУЖИТЕЛИТЕ ЗАПОЗНАЛИ </w:t>
      </w:r>
      <w:r w:rsidR="00A97FF0" w:rsidRPr="00390241">
        <w:rPr>
          <w:rFonts w:asciiTheme="minorHAnsi" w:hAnsiTheme="minorHAnsi"/>
          <w:b/>
          <w:szCs w:val="24"/>
        </w:rPr>
        <w:t xml:space="preserve"> СЕ СЪС</w:t>
      </w:r>
    </w:p>
    <w:p w:rsidR="00A97FF0" w:rsidRPr="00390241" w:rsidRDefault="00A97FF0" w:rsidP="005678CF">
      <w:pPr>
        <w:pStyle w:val="a7"/>
        <w:jc w:val="center"/>
        <w:rPr>
          <w:rFonts w:asciiTheme="minorHAnsi" w:hAnsiTheme="minorHAnsi"/>
          <w:b/>
          <w:szCs w:val="24"/>
        </w:rPr>
      </w:pPr>
      <w:r w:rsidRPr="00390241">
        <w:rPr>
          <w:rFonts w:asciiTheme="minorHAnsi" w:hAnsiTheme="minorHAnsi"/>
          <w:b/>
          <w:szCs w:val="24"/>
        </w:rPr>
        <w:t xml:space="preserve">СТРАТЕГИЯТА ЗА РАЗВИТИЕ </w:t>
      </w:r>
    </w:p>
    <w:p w:rsidR="00A97FF0" w:rsidRPr="00390241" w:rsidRDefault="000713C1" w:rsidP="005678CF">
      <w:pPr>
        <w:pStyle w:val="a7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ЗА ПЕРИОДА 2017 – 2021</w:t>
      </w:r>
      <w:r w:rsidR="00A97FF0" w:rsidRPr="00390241">
        <w:rPr>
          <w:rFonts w:asciiTheme="minorHAnsi" w:hAnsiTheme="minorHAnsi"/>
          <w:b/>
          <w:szCs w:val="24"/>
        </w:rPr>
        <w:t xml:space="preserve"> Г.</w:t>
      </w:r>
    </w:p>
    <w:p w:rsidR="000070A7" w:rsidRPr="00390241" w:rsidRDefault="000070A7" w:rsidP="000070A7">
      <w:pPr>
        <w:pStyle w:val="a7"/>
        <w:rPr>
          <w:rFonts w:asciiTheme="minorHAnsi" w:hAnsiTheme="minorHAnsi"/>
          <w:b/>
          <w:szCs w:val="24"/>
        </w:rPr>
      </w:pPr>
    </w:p>
    <w:p w:rsidR="000070A7" w:rsidRPr="00390241" w:rsidRDefault="000070A7" w:rsidP="000070A7">
      <w:pPr>
        <w:pStyle w:val="a7"/>
        <w:rPr>
          <w:rFonts w:asciiTheme="minorHAnsi" w:hAnsiTheme="minorHAnsi"/>
          <w:b/>
          <w:szCs w:val="24"/>
          <w:lang w:val="en-US"/>
        </w:rPr>
      </w:pPr>
    </w:p>
    <w:p w:rsidR="000070A7" w:rsidRPr="00390241" w:rsidRDefault="000070A7" w:rsidP="000070A7">
      <w:pPr>
        <w:pStyle w:val="a7"/>
        <w:rPr>
          <w:rFonts w:asciiTheme="minorHAnsi" w:hAnsiTheme="minorHAnsi"/>
          <w:b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691"/>
        <w:gridCol w:w="2643"/>
        <w:gridCol w:w="2112"/>
      </w:tblGrid>
      <w:tr w:rsidR="000070A7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70A7" w:rsidRPr="00390241" w:rsidRDefault="000070A7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b/>
                <w:szCs w:val="24"/>
                <w:lang w:val="ru-RU"/>
              </w:rPr>
              <w:t>№ по ред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70A7" w:rsidRPr="00390241" w:rsidRDefault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b/>
                <w:szCs w:val="24"/>
                <w:lang w:val="ru-RU"/>
              </w:rPr>
              <w:t>Име, презиме,</w:t>
            </w:r>
            <w:r w:rsidR="000070A7" w:rsidRPr="00390241">
              <w:rPr>
                <w:rFonts w:asciiTheme="minorHAnsi" w:hAnsiTheme="minorHAnsi"/>
                <w:b/>
                <w:szCs w:val="24"/>
                <w:lang w:val="ru-RU"/>
              </w:rPr>
              <w:t xml:space="preserve"> фамилия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70A7" w:rsidRPr="00390241" w:rsidRDefault="000070A7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390241">
              <w:rPr>
                <w:rFonts w:asciiTheme="minorHAnsi" w:hAnsiTheme="minorHAnsi"/>
                <w:b/>
                <w:szCs w:val="24"/>
                <w:lang w:val="ru-RU"/>
              </w:rPr>
              <w:t>Заемана длъжност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70A7" w:rsidRPr="00390241" w:rsidRDefault="000070A7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b/>
                <w:szCs w:val="24"/>
                <w:lang w:val="ru-RU"/>
              </w:rPr>
              <w:t>Подпис на лицето</w:t>
            </w:r>
          </w:p>
        </w:tc>
      </w:tr>
      <w:tr w:rsidR="000070A7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Мариана Трифонова Дошмановска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CC1846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с</w:t>
            </w:r>
            <w:r w:rsidR="00A97FF0" w:rsidRPr="00390241">
              <w:rPr>
                <w:rFonts w:asciiTheme="minorHAnsi" w:hAnsiTheme="minorHAnsi"/>
                <w:szCs w:val="24"/>
                <w:lang w:val="ru-RU"/>
              </w:rPr>
              <w:t>тарши учител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0070A7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0070A7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Любима Николаева Младжова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1970BD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с</w:t>
            </w:r>
            <w:r w:rsidR="000713C1">
              <w:rPr>
                <w:rFonts w:asciiTheme="minorHAnsi" w:hAnsiTheme="minorHAnsi"/>
                <w:szCs w:val="24"/>
                <w:lang w:val="ru-RU"/>
              </w:rPr>
              <w:t>тарши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A97FF0" w:rsidRPr="00390241">
              <w:rPr>
                <w:rFonts w:asciiTheme="minorHAnsi" w:hAnsiTheme="minorHAnsi"/>
                <w:szCs w:val="24"/>
                <w:lang w:val="ru-RU"/>
              </w:rPr>
              <w:t>учител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0070A7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0070A7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Теодора Илийчова Сивова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учител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0070A7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0070A7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0713C1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Петя Илиева</w:t>
            </w:r>
            <w:r w:rsidR="001970BD">
              <w:rPr>
                <w:rFonts w:asciiTheme="minorHAnsi" w:hAnsiTheme="minorHAnsi"/>
                <w:szCs w:val="24"/>
                <w:lang w:val="ru-RU"/>
              </w:rPr>
              <w:t xml:space="preserve"> Вълчешка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учител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0070A7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0070A7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Маруся Цветанова Миткинска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CC1846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г</w:t>
            </w:r>
            <w:r w:rsidR="00A97FF0" w:rsidRPr="00390241">
              <w:rPr>
                <w:rFonts w:asciiTheme="minorHAnsi" w:hAnsiTheme="minorHAnsi"/>
                <w:szCs w:val="24"/>
                <w:lang w:val="ru-RU"/>
              </w:rPr>
              <w:t>лавен счетоводител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A7" w:rsidRPr="00390241" w:rsidRDefault="000070A7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A97FF0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Даринка Йорданова Дошмановска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8B371E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касиер - домакин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A97FF0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Павлина Недялкова Дишовска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CC1846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п</w:t>
            </w:r>
            <w:r w:rsidR="00A97FF0" w:rsidRPr="00390241">
              <w:rPr>
                <w:rFonts w:asciiTheme="minorHAnsi" w:hAnsiTheme="minorHAnsi"/>
                <w:szCs w:val="24"/>
                <w:lang w:val="ru-RU"/>
              </w:rPr>
              <w:t>ом.</w:t>
            </w:r>
            <w:r w:rsidRPr="00390241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A97FF0" w:rsidRPr="00390241">
              <w:rPr>
                <w:rFonts w:asciiTheme="minorHAnsi" w:hAnsiTheme="minorHAnsi"/>
                <w:szCs w:val="24"/>
                <w:lang w:val="ru-RU"/>
              </w:rPr>
              <w:t>възпитател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A97FF0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Геновева Тодорова Котова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CC1846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п</w:t>
            </w:r>
            <w:r w:rsidR="00A97FF0" w:rsidRPr="00390241">
              <w:rPr>
                <w:rFonts w:asciiTheme="minorHAnsi" w:hAnsiTheme="minorHAnsi"/>
                <w:szCs w:val="24"/>
                <w:lang w:val="ru-RU"/>
              </w:rPr>
              <w:t>ом.</w:t>
            </w:r>
            <w:r w:rsidRPr="00390241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A97FF0" w:rsidRPr="00390241">
              <w:rPr>
                <w:rFonts w:asciiTheme="minorHAnsi" w:hAnsiTheme="minorHAnsi"/>
                <w:szCs w:val="24"/>
                <w:lang w:val="ru-RU"/>
              </w:rPr>
              <w:t>възпитател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A97FF0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1970BD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Виолета Георгиева Цолова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CC1846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п</w:t>
            </w:r>
            <w:r w:rsidR="00CC51A2" w:rsidRPr="00390241">
              <w:rPr>
                <w:rFonts w:asciiTheme="minorHAnsi" w:hAnsiTheme="minorHAnsi"/>
                <w:szCs w:val="24"/>
                <w:lang w:val="ru-RU"/>
              </w:rPr>
              <w:t>ом.</w:t>
            </w:r>
            <w:r w:rsidRPr="00390241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CC51A2" w:rsidRPr="00390241">
              <w:rPr>
                <w:rFonts w:asciiTheme="minorHAnsi" w:hAnsiTheme="minorHAnsi"/>
                <w:szCs w:val="24"/>
                <w:lang w:val="ru-RU"/>
              </w:rPr>
              <w:t>възпитател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A97FF0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CC51A2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Петя Цветанова Дъбнишка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CC1846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г</w:t>
            </w:r>
            <w:r w:rsidR="00CC51A2" w:rsidRPr="00390241">
              <w:rPr>
                <w:rFonts w:asciiTheme="minorHAnsi" w:hAnsiTheme="minorHAnsi"/>
                <w:szCs w:val="24"/>
                <w:lang w:val="ru-RU"/>
              </w:rPr>
              <w:t>отвач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A97FF0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1970BD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Венетка Светославова Пашановска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1970BD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помощник готвач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0" w:rsidRPr="00390241" w:rsidRDefault="00A97FF0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1970BD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E124A8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Цветан Николов Йочколовски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E124A8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работник ремонт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1970BD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Милена Светозарова Кончарска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 w:rsidRPr="00390241">
              <w:rPr>
                <w:rFonts w:asciiTheme="minorHAnsi" w:hAnsiTheme="minorHAnsi"/>
                <w:szCs w:val="24"/>
                <w:lang w:val="ru-RU"/>
              </w:rPr>
              <w:t>мед</w:t>
            </w:r>
            <w:proofErr w:type="gramStart"/>
            <w:r w:rsidRPr="00390241">
              <w:rPr>
                <w:rFonts w:asciiTheme="minorHAnsi" w:hAnsiTheme="minorHAnsi"/>
                <w:szCs w:val="24"/>
                <w:lang w:val="ru-RU"/>
              </w:rPr>
              <w:t>.</w:t>
            </w:r>
            <w:proofErr w:type="gramEnd"/>
            <w:r w:rsidRPr="00390241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proofErr w:type="gramStart"/>
            <w:r w:rsidRPr="00390241">
              <w:rPr>
                <w:rFonts w:asciiTheme="minorHAnsi" w:hAnsiTheme="minorHAnsi"/>
                <w:szCs w:val="24"/>
                <w:lang w:val="ru-RU"/>
              </w:rPr>
              <w:t>с</w:t>
            </w:r>
            <w:proofErr w:type="gramEnd"/>
            <w:r w:rsidRPr="00390241">
              <w:rPr>
                <w:rFonts w:asciiTheme="minorHAnsi" w:hAnsiTheme="minorHAnsi"/>
                <w:szCs w:val="24"/>
                <w:lang w:val="ru-RU"/>
              </w:rPr>
              <w:t>естра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1970BD" w:rsidRPr="00390241" w:rsidTr="001970B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Петя Бодилкова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000963" w:rsidP="008B371E">
            <w:pPr>
              <w:pStyle w:val="a7"/>
              <w:spacing w:line="240" w:lineRule="auto"/>
              <w:ind w:firstLine="0"/>
              <w:jc w:val="left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училищна сестра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D" w:rsidRPr="00390241" w:rsidRDefault="001970BD" w:rsidP="00A97FF0">
            <w:pPr>
              <w:pStyle w:val="a7"/>
              <w:spacing w:line="240" w:lineRule="auto"/>
              <w:ind w:firstLine="0"/>
              <w:jc w:val="center"/>
              <w:rPr>
                <w:rFonts w:asciiTheme="minorHAnsi" w:hAnsiTheme="minorHAnsi"/>
                <w:szCs w:val="24"/>
                <w:lang w:val="ru-RU"/>
              </w:rPr>
            </w:pPr>
          </w:p>
        </w:tc>
      </w:tr>
    </w:tbl>
    <w:p w:rsidR="000070A7" w:rsidRDefault="000070A7"/>
    <w:p w:rsidR="008B371E" w:rsidRDefault="008B371E"/>
    <w:p w:rsidR="008B371E" w:rsidRPr="008B371E" w:rsidRDefault="008B371E"/>
    <w:sectPr w:rsidR="008B371E" w:rsidRPr="008B371E" w:rsidSect="00C50DB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FBB"/>
    <w:multiLevelType w:val="hybridMultilevel"/>
    <w:tmpl w:val="E5B29E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26AA"/>
    <w:multiLevelType w:val="multilevel"/>
    <w:tmpl w:val="26A02B54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2">
    <w:nsid w:val="15F33C6D"/>
    <w:multiLevelType w:val="hybridMultilevel"/>
    <w:tmpl w:val="D3AAC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00028"/>
    <w:multiLevelType w:val="hybridMultilevel"/>
    <w:tmpl w:val="3EE0990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22E7306E"/>
    <w:multiLevelType w:val="hybridMultilevel"/>
    <w:tmpl w:val="579A450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53F4CC0"/>
    <w:multiLevelType w:val="hybridMultilevel"/>
    <w:tmpl w:val="3A7C0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0172C"/>
    <w:multiLevelType w:val="hybridMultilevel"/>
    <w:tmpl w:val="731EDC58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4D405FC8"/>
    <w:multiLevelType w:val="hybridMultilevel"/>
    <w:tmpl w:val="A246CFA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17716AC"/>
    <w:multiLevelType w:val="hybridMultilevel"/>
    <w:tmpl w:val="03B46C84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551A7BC0"/>
    <w:multiLevelType w:val="hybridMultilevel"/>
    <w:tmpl w:val="6CB0F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54EE1"/>
    <w:multiLevelType w:val="hybridMultilevel"/>
    <w:tmpl w:val="BEA42B7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EF65FA3"/>
    <w:multiLevelType w:val="hybridMultilevel"/>
    <w:tmpl w:val="8E560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074F0"/>
    <w:multiLevelType w:val="hybridMultilevel"/>
    <w:tmpl w:val="EAD214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71"/>
    <w:multiLevelType w:val="hybridMultilevel"/>
    <w:tmpl w:val="6C4C3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08C1"/>
    <w:multiLevelType w:val="hybridMultilevel"/>
    <w:tmpl w:val="2D383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10803"/>
    <w:multiLevelType w:val="hybridMultilevel"/>
    <w:tmpl w:val="0218A678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A90"/>
    <w:rsid w:val="00000963"/>
    <w:rsid w:val="00003FEC"/>
    <w:rsid w:val="000070A7"/>
    <w:rsid w:val="00027853"/>
    <w:rsid w:val="000463BA"/>
    <w:rsid w:val="00062437"/>
    <w:rsid w:val="000713C1"/>
    <w:rsid w:val="00081CA1"/>
    <w:rsid w:val="000B289C"/>
    <w:rsid w:val="000B5709"/>
    <w:rsid w:val="000E09AE"/>
    <w:rsid w:val="00127A7C"/>
    <w:rsid w:val="00154171"/>
    <w:rsid w:val="001970BD"/>
    <w:rsid w:val="001F2A63"/>
    <w:rsid w:val="00204A90"/>
    <w:rsid w:val="0022361D"/>
    <w:rsid w:val="00252DC4"/>
    <w:rsid w:val="002D06EC"/>
    <w:rsid w:val="00301C1B"/>
    <w:rsid w:val="00325F17"/>
    <w:rsid w:val="00330210"/>
    <w:rsid w:val="00355ECE"/>
    <w:rsid w:val="00390241"/>
    <w:rsid w:val="00392FAD"/>
    <w:rsid w:val="003B602A"/>
    <w:rsid w:val="004272BC"/>
    <w:rsid w:val="004A491B"/>
    <w:rsid w:val="004B0722"/>
    <w:rsid w:val="004C4162"/>
    <w:rsid w:val="004E11D6"/>
    <w:rsid w:val="00500061"/>
    <w:rsid w:val="005103F5"/>
    <w:rsid w:val="00517E77"/>
    <w:rsid w:val="00525E26"/>
    <w:rsid w:val="00564EE7"/>
    <w:rsid w:val="005678CF"/>
    <w:rsid w:val="00585890"/>
    <w:rsid w:val="005C25AF"/>
    <w:rsid w:val="005E24C2"/>
    <w:rsid w:val="005F39F9"/>
    <w:rsid w:val="00677B46"/>
    <w:rsid w:val="006C055E"/>
    <w:rsid w:val="00722C27"/>
    <w:rsid w:val="007547C1"/>
    <w:rsid w:val="00765038"/>
    <w:rsid w:val="007E17C4"/>
    <w:rsid w:val="00821A78"/>
    <w:rsid w:val="00831F27"/>
    <w:rsid w:val="008365C1"/>
    <w:rsid w:val="008B371E"/>
    <w:rsid w:val="00983820"/>
    <w:rsid w:val="009975EC"/>
    <w:rsid w:val="009D5202"/>
    <w:rsid w:val="009F6A57"/>
    <w:rsid w:val="00A102A7"/>
    <w:rsid w:val="00A34398"/>
    <w:rsid w:val="00A3797D"/>
    <w:rsid w:val="00A97FF0"/>
    <w:rsid w:val="00AE421D"/>
    <w:rsid w:val="00B04BA3"/>
    <w:rsid w:val="00B34E79"/>
    <w:rsid w:val="00B53B29"/>
    <w:rsid w:val="00C50DBA"/>
    <w:rsid w:val="00C82E46"/>
    <w:rsid w:val="00CB0979"/>
    <w:rsid w:val="00CC1846"/>
    <w:rsid w:val="00CC1E82"/>
    <w:rsid w:val="00CC51A2"/>
    <w:rsid w:val="00CF4905"/>
    <w:rsid w:val="00D00CCB"/>
    <w:rsid w:val="00D047A7"/>
    <w:rsid w:val="00D14321"/>
    <w:rsid w:val="00DD74C8"/>
    <w:rsid w:val="00DF1949"/>
    <w:rsid w:val="00EB0584"/>
    <w:rsid w:val="00F47C32"/>
    <w:rsid w:val="00F710DC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29"/>
  </w:style>
  <w:style w:type="paragraph" w:styleId="1">
    <w:name w:val="heading 1"/>
    <w:basedOn w:val="a"/>
    <w:next w:val="a"/>
    <w:link w:val="10"/>
    <w:uiPriority w:val="9"/>
    <w:qFormat/>
    <w:rsid w:val="004C4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4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4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16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C4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C4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C41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C50DBA"/>
    <w:pPr>
      <w:ind w:left="720"/>
      <w:contextualSpacing/>
    </w:pPr>
  </w:style>
  <w:style w:type="paragraph" w:styleId="a7">
    <w:name w:val="Body Text"/>
    <w:link w:val="a8"/>
    <w:unhideWhenUsed/>
    <w:rsid w:val="000070A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0070A7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4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4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16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C4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4C4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C41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C5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3016</Words>
  <Characters>17194</Characters>
  <Application>Microsoft Office Word</Application>
  <DocSecurity>0</DocSecurity>
  <Lines>143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46</cp:revision>
  <cp:lastPrinted>2017-09-19T11:17:00Z</cp:lastPrinted>
  <dcterms:created xsi:type="dcterms:W3CDTF">2016-09-12T08:51:00Z</dcterms:created>
  <dcterms:modified xsi:type="dcterms:W3CDTF">2017-09-19T14:02:00Z</dcterms:modified>
</cp:coreProperties>
</file>